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7.xml" ContentType="application/vnd.openxmlformats-officedocument.themeOverride+xml"/>
  <Override PartName="/word/charts/chart37.xml" ContentType="application/vnd.openxmlformats-officedocument.drawingml.chart+xml"/>
  <Override PartName="/word/theme/themeOverride8.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4D1" w:rsidRDefault="003124D1">
      <w:pPr>
        <w:rPr>
          <w:rFonts w:ascii="Times New Roman" w:hAnsi="Times New Roman" w:cs="Times New Roman"/>
          <w:b/>
          <w:color w:val="4F81BD" w:themeColor="accent1"/>
          <w:sz w:val="52"/>
          <w:szCs w:val="52"/>
        </w:rPr>
      </w:pPr>
      <w:bookmarkStart w:id="0" w:name="_Toc366418291"/>
      <w:bookmarkStart w:id="1" w:name="_Toc366418392"/>
      <w:bookmarkStart w:id="2" w:name="_Toc366419024"/>
      <w:bookmarkStart w:id="3" w:name="_Toc366419137"/>
      <w:bookmarkStart w:id="4" w:name="_Toc366419231"/>
      <w:bookmarkStart w:id="5" w:name="_Toc366419837"/>
      <w:bookmarkStart w:id="6" w:name="_Toc366576335"/>
      <w:bookmarkStart w:id="7" w:name="_Toc366678672"/>
      <w:bookmarkStart w:id="8" w:name="_Toc366685682"/>
      <w:bookmarkStart w:id="9" w:name="_Toc366853879"/>
      <w:bookmarkStart w:id="10" w:name="_Toc384643578"/>
      <w:bookmarkStart w:id="11" w:name="_Toc384736960"/>
      <w:bookmarkStart w:id="12" w:name="_Toc384736999"/>
      <w:bookmarkStart w:id="13" w:name="_Toc384737063"/>
      <w:bookmarkStart w:id="14" w:name="_GoBack"/>
      <w:bookmarkEnd w:id="14"/>
    </w:p>
    <w:p w:rsidR="00D373A6" w:rsidRPr="00EE651E" w:rsidRDefault="00D373A6" w:rsidP="008568A5">
      <w:pPr>
        <w:jc w:val="center"/>
        <w:rPr>
          <w:rFonts w:ascii="Times New Roman" w:hAnsi="Times New Roman" w:cs="Times New Roman"/>
          <w:b/>
          <w:color w:val="4F81BD" w:themeColor="accent1"/>
          <w:sz w:val="52"/>
          <w:szCs w:val="52"/>
        </w:rPr>
      </w:pPr>
      <w:r w:rsidRPr="00EE651E">
        <w:rPr>
          <w:rFonts w:ascii="Times New Roman" w:hAnsi="Times New Roman" w:cs="Times New Roman"/>
          <w:b/>
          <w:color w:val="4F81BD" w:themeColor="accent1"/>
          <w:sz w:val="52"/>
          <w:szCs w:val="52"/>
        </w:rPr>
        <w:t xml:space="preserve">Demographics </w:t>
      </w:r>
      <w:bookmarkEnd w:id="0"/>
      <w:bookmarkEnd w:id="1"/>
      <w:bookmarkEnd w:id="2"/>
      <w:bookmarkEnd w:id="3"/>
      <w:bookmarkEnd w:id="4"/>
      <w:bookmarkEnd w:id="5"/>
      <w:bookmarkEnd w:id="6"/>
      <w:bookmarkEnd w:id="7"/>
      <w:bookmarkEnd w:id="8"/>
      <w:bookmarkEnd w:id="9"/>
      <w:r w:rsidRPr="00EE651E">
        <w:rPr>
          <w:rFonts w:ascii="Times New Roman" w:hAnsi="Times New Roman" w:cs="Times New Roman"/>
          <w:b/>
          <w:color w:val="4F81BD" w:themeColor="accent1"/>
          <w:sz w:val="52"/>
          <w:szCs w:val="52"/>
        </w:rPr>
        <w:t xml:space="preserve">of </w:t>
      </w:r>
      <w:bookmarkEnd w:id="10"/>
      <w:r w:rsidRPr="00EE651E">
        <w:rPr>
          <w:rFonts w:ascii="Times New Roman" w:hAnsi="Times New Roman" w:cs="Times New Roman"/>
          <w:b/>
          <w:color w:val="4F81BD" w:themeColor="accent1"/>
          <w:sz w:val="52"/>
          <w:szCs w:val="52"/>
        </w:rPr>
        <w:t>NIH Workforce</w:t>
      </w:r>
      <w:bookmarkEnd w:id="11"/>
      <w:bookmarkEnd w:id="12"/>
      <w:bookmarkEnd w:id="13"/>
    </w:p>
    <w:p w:rsidR="00D373A6" w:rsidRPr="00EE651E" w:rsidRDefault="00D373A6" w:rsidP="00D373A6">
      <w:pPr>
        <w:spacing w:after="0" w:line="240" w:lineRule="auto"/>
        <w:jc w:val="center"/>
        <w:rPr>
          <w:rFonts w:ascii="Times New Roman" w:hAnsi="Times New Roman" w:cs="Times New Roman"/>
          <w:b/>
          <w:color w:val="4F81BD" w:themeColor="accent1"/>
          <w:sz w:val="24"/>
          <w:szCs w:val="24"/>
        </w:rPr>
      </w:pPr>
      <w:r w:rsidRPr="00EE651E">
        <w:rPr>
          <w:rFonts w:ascii="Times New Roman" w:hAnsi="Times New Roman" w:cs="Times New Roman"/>
          <w:b/>
          <w:color w:val="4F81BD" w:themeColor="accent1"/>
          <w:sz w:val="52"/>
          <w:szCs w:val="52"/>
        </w:rPr>
        <w:t>Office of Equity Diversity and Inclusion</w:t>
      </w:r>
      <w:r w:rsidRPr="00EE651E">
        <w:rPr>
          <w:rFonts w:ascii="Times New Roman" w:hAnsi="Times New Roman" w:cs="Times New Roman"/>
          <w:b/>
          <w:color w:val="4F81BD" w:themeColor="accent1"/>
          <w:sz w:val="24"/>
          <w:szCs w:val="24"/>
        </w:rPr>
        <w:br/>
      </w:r>
    </w:p>
    <w:sdt>
      <w:sdtPr>
        <w:rPr>
          <w:rFonts w:asciiTheme="minorHAnsi" w:eastAsiaTheme="minorHAnsi" w:hAnsiTheme="minorHAnsi" w:cstheme="minorBidi"/>
          <w:b w:val="0"/>
          <w:bCs w:val="0"/>
          <w:color w:val="auto"/>
          <w:sz w:val="22"/>
          <w:szCs w:val="22"/>
          <w:lang w:eastAsia="en-US"/>
        </w:rPr>
        <w:id w:val="-781028390"/>
        <w:docPartObj>
          <w:docPartGallery w:val="Table of Contents"/>
          <w:docPartUnique/>
        </w:docPartObj>
      </w:sdtPr>
      <w:sdtEndPr>
        <w:rPr>
          <w:noProof/>
        </w:rPr>
      </w:sdtEndPr>
      <w:sdtContent>
        <w:p w:rsidR="00D373A6" w:rsidRDefault="00D373A6" w:rsidP="00D373A6">
          <w:pPr>
            <w:pStyle w:val="TOCHeading"/>
          </w:pPr>
          <w:r>
            <w:t>Contents</w:t>
          </w:r>
        </w:p>
        <w:p w:rsidR="00D373A6" w:rsidRDefault="00D373A6" w:rsidP="00D373A6">
          <w:pPr>
            <w:pStyle w:val="TOC1"/>
            <w:tabs>
              <w:tab w:val="right" w:leader="dot" w:pos="9350"/>
            </w:tabs>
            <w:rPr>
              <w:rFonts w:eastAsiaTheme="minorEastAsia"/>
              <w:b/>
              <w:noProof/>
              <w:sz w:val="22"/>
              <w:szCs w:val="22"/>
            </w:rPr>
          </w:pPr>
          <w:r>
            <w:fldChar w:fldCharType="begin"/>
          </w:r>
          <w:r>
            <w:instrText xml:space="preserve"> TOC \o "1-3" \h \z \u </w:instrText>
          </w:r>
          <w:r>
            <w:fldChar w:fldCharType="separate"/>
          </w:r>
          <w:hyperlink w:anchor="_Toc411523419" w:history="1">
            <w:r w:rsidRPr="00401064">
              <w:rPr>
                <w:rStyle w:val="Hyperlink"/>
                <w:noProof/>
              </w:rPr>
              <w:t>Composition of the NIH Total Workforce</w:t>
            </w:r>
            <w:r>
              <w:rPr>
                <w:noProof/>
                <w:webHidden/>
              </w:rPr>
              <w:tab/>
            </w:r>
            <w:r>
              <w:rPr>
                <w:noProof/>
                <w:webHidden/>
              </w:rPr>
              <w:fldChar w:fldCharType="begin"/>
            </w:r>
            <w:r>
              <w:rPr>
                <w:noProof/>
                <w:webHidden/>
              </w:rPr>
              <w:instrText xml:space="preserve"> PAGEREF _Toc411523419 \h </w:instrText>
            </w:r>
            <w:r>
              <w:rPr>
                <w:noProof/>
                <w:webHidden/>
              </w:rPr>
            </w:r>
            <w:r>
              <w:rPr>
                <w:noProof/>
                <w:webHidden/>
              </w:rPr>
              <w:fldChar w:fldCharType="separate"/>
            </w:r>
            <w:r w:rsidR="003124D1">
              <w:rPr>
                <w:noProof/>
                <w:webHidden/>
              </w:rPr>
              <w:t>122</w:t>
            </w:r>
            <w:r>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20" w:history="1">
            <w:r w:rsidR="00D373A6" w:rsidRPr="00401064">
              <w:rPr>
                <w:rStyle w:val="Hyperlink"/>
                <w:noProof/>
              </w:rPr>
              <w:t>Race, Ethnicity, and Sex: Composition by Permanent or Temporary Status</w:t>
            </w:r>
            <w:r w:rsidR="00D373A6">
              <w:rPr>
                <w:noProof/>
                <w:webHidden/>
              </w:rPr>
              <w:tab/>
            </w:r>
            <w:r w:rsidR="00D373A6">
              <w:rPr>
                <w:noProof/>
                <w:webHidden/>
              </w:rPr>
              <w:fldChar w:fldCharType="begin"/>
            </w:r>
            <w:r w:rsidR="00D373A6">
              <w:rPr>
                <w:noProof/>
                <w:webHidden/>
              </w:rPr>
              <w:instrText xml:space="preserve"> PAGEREF _Toc411523420 \h </w:instrText>
            </w:r>
            <w:r w:rsidR="00D373A6">
              <w:rPr>
                <w:noProof/>
                <w:webHidden/>
              </w:rPr>
            </w:r>
            <w:r w:rsidR="00D373A6">
              <w:rPr>
                <w:noProof/>
                <w:webHidden/>
              </w:rPr>
              <w:fldChar w:fldCharType="separate"/>
            </w:r>
            <w:r w:rsidR="003124D1">
              <w:rPr>
                <w:noProof/>
                <w:webHidden/>
              </w:rPr>
              <w:t>125</w:t>
            </w:r>
            <w:r w:rsidR="00D373A6">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22" w:history="1">
            <w:r w:rsidR="00D373A6" w:rsidRPr="00401064">
              <w:rPr>
                <w:rStyle w:val="Hyperlink"/>
                <w:noProof/>
              </w:rPr>
              <w:t>People with Disabilities: Composition by Permanent or Temporary Status</w:t>
            </w:r>
            <w:r w:rsidR="00D373A6">
              <w:rPr>
                <w:noProof/>
                <w:webHidden/>
              </w:rPr>
              <w:tab/>
            </w:r>
            <w:r w:rsidR="00D373A6">
              <w:rPr>
                <w:noProof/>
                <w:webHidden/>
              </w:rPr>
              <w:fldChar w:fldCharType="begin"/>
            </w:r>
            <w:r w:rsidR="00D373A6">
              <w:rPr>
                <w:noProof/>
                <w:webHidden/>
              </w:rPr>
              <w:instrText xml:space="preserve"> PAGEREF _Toc411523422 \h </w:instrText>
            </w:r>
            <w:r w:rsidR="00D373A6">
              <w:rPr>
                <w:noProof/>
                <w:webHidden/>
              </w:rPr>
            </w:r>
            <w:r w:rsidR="00D373A6">
              <w:rPr>
                <w:noProof/>
                <w:webHidden/>
              </w:rPr>
              <w:fldChar w:fldCharType="separate"/>
            </w:r>
            <w:r w:rsidR="003124D1">
              <w:rPr>
                <w:noProof/>
                <w:webHidden/>
              </w:rPr>
              <w:t>126</w:t>
            </w:r>
            <w:r w:rsidR="00D373A6">
              <w:rPr>
                <w:noProof/>
                <w:webHidden/>
              </w:rPr>
              <w:fldChar w:fldCharType="end"/>
            </w:r>
          </w:hyperlink>
        </w:p>
        <w:p w:rsidR="00D373A6" w:rsidRDefault="00F46F82" w:rsidP="00D373A6">
          <w:pPr>
            <w:pStyle w:val="TOC1"/>
            <w:tabs>
              <w:tab w:val="right" w:leader="dot" w:pos="9350"/>
            </w:tabs>
            <w:rPr>
              <w:rFonts w:eastAsiaTheme="minorEastAsia"/>
              <w:b/>
              <w:noProof/>
              <w:sz w:val="22"/>
              <w:szCs w:val="22"/>
            </w:rPr>
          </w:pPr>
          <w:hyperlink w:anchor="_Toc411523423" w:history="1">
            <w:r w:rsidR="00D373A6" w:rsidRPr="00401064">
              <w:rPr>
                <w:rStyle w:val="Hyperlink"/>
                <w:noProof/>
              </w:rPr>
              <w:t>New Hires and Separations</w:t>
            </w:r>
            <w:r w:rsidR="00D373A6">
              <w:rPr>
                <w:noProof/>
                <w:webHidden/>
              </w:rPr>
              <w:tab/>
            </w:r>
            <w:r w:rsidR="00D373A6">
              <w:rPr>
                <w:noProof/>
                <w:webHidden/>
              </w:rPr>
              <w:fldChar w:fldCharType="begin"/>
            </w:r>
            <w:r w:rsidR="00D373A6">
              <w:rPr>
                <w:noProof/>
                <w:webHidden/>
              </w:rPr>
              <w:instrText xml:space="preserve"> PAGEREF _Toc411523423 \h </w:instrText>
            </w:r>
            <w:r w:rsidR="00D373A6">
              <w:rPr>
                <w:noProof/>
                <w:webHidden/>
              </w:rPr>
            </w:r>
            <w:r w:rsidR="00D373A6">
              <w:rPr>
                <w:noProof/>
                <w:webHidden/>
              </w:rPr>
              <w:fldChar w:fldCharType="separate"/>
            </w:r>
            <w:r w:rsidR="003124D1">
              <w:rPr>
                <w:noProof/>
                <w:webHidden/>
              </w:rPr>
              <w:t>129</w:t>
            </w:r>
            <w:r w:rsidR="00D373A6">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24" w:history="1">
            <w:r w:rsidR="00D373A6" w:rsidRPr="00401064">
              <w:rPr>
                <w:rStyle w:val="Hyperlink"/>
                <w:noProof/>
              </w:rPr>
              <w:t>New Hires by Race/Ethnicity</w:t>
            </w:r>
            <w:r w:rsidR="00D373A6">
              <w:rPr>
                <w:noProof/>
                <w:webHidden/>
              </w:rPr>
              <w:tab/>
            </w:r>
            <w:r w:rsidR="00D373A6">
              <w:rPr>
                <w:noProof/>
                <w:webHidden/>
              </w:rPr>
              <w:fldChar w:fldCharType="begin"/>
            </w:r>
            <w:r w:rsidR="00D373A6">
              <w:rPr>
                <w:noProof/>
                <w:webHidden/>
              </w:rPr>
              <w:instrText xml:space="preserve"> PAGEREF _Toc411523424 \h </w:instrText>
            </w:r>
            <w:r w:rsidR="00D373A6">
              <w:rPr>
                <w:noProof/>
                <w:webHidden/>
              </w:rPr>
            </w:r>
            <w:r w:rsidR="00D373A6">
              <w:rPr>
                <w:noProof/>
                <w:webHidden/>
              </w:rPr>
              <w:fldChar w:fldCharType="separate"/>
            </w:r>
            <w:r w:rsidR="003124D1">
              <w:rPr>
                <w:noProof/>
                <w:webHidden/>
              </w:rPr>
              <w:t>129</w:t>
            </w:r>
            <w:r w:rsidR="00D373A6">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25" w:history="1">
            <w:r w:rsidR="00D373A6" w:rsidRPr="00401064">
              <w:rPr>
                <w:rStyle w:val="Hyperlink"/>
                <w:noProof/>
              </w:rPr>
              <w:t>New Hires by Disability Status</w:t>
            </w:r>
            <w:r w:rsidR="00D373A6">
              <w:rPr>
                <w:noProof/>
                <w:webHidden/>
              </w:rPr>
              <w:tab/>
            </w:r>
            <w:r w:rsidR="00D373A6">
              <w:rPr>
                <w:noProof/>
                <w:webHidden/>
              </w:rPr>
              <w:fldChar w:fldCharType="begin"/>
            </w:r>
            <w:r w:rsidR="00D373A6">
              <w:rPr>
                <w:noProof/>
                <w:webHidden/>
              </w:rPr>
              <w:instrText xml:space="preserve"> PAGEREF _Toc411523425 \h </w:instrText>
            </w:r>
            <w:r w:rsidR="00D373A6">
              <w:rPr>
                <w:noProof/>
                <w:webHidden/>
              </w:rPr>
            </w:r>
            <w:r w:rsidR="00D373A6">
              <w:rPr>
                <w:noProof/>
                <w:webHidden/>
              </w:rPr>
              <w:fldChar w:fldCharType="separate"/>
            </w:r>
            <w:r w:rsidR="003124D1">
              <w:rPr>
                <w:noProof/>
                <w:webHidden/>
              </w:rPr>
              <w:t>130</w:t>
            </w:r>
            <w:r w:rsidR="00D373A6">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26" w:history="1">
            <w:r w:rsidR="00D373A6" w:rsidRPr="00401064">
              <w:rPr>
                <w:rStyle w:val="Hyperlink"/>
                <w:noProof/>
              </w:rPr>
              <w:t>Permanent Separations by Race/Ethnicity</w:t>
            </w:r>
            <w:r w:rsidR="00D373A6">
              <w:rPr>
                <w:noProof/>
                <w:webHidden/>
              </w:rPr>
              <w:tab/>
            </w:r>
            <w:r w:rsidR="00D373A6">
              <w:rPr>
                <w:noProof/>
                <w:webHidden/>
              </w:rPr>
              <w:fldChar w:fldCharType="begin"/>
            </w:r>
            <w:r w:rsidR="00D373A6">
              <w:rPr>
                <w:noProof/>
                <w:webHidden/>
              </w:rPr>
              <w:instrText xml:space="preserve"> PAGEREF _Toc411523426 \h </w:instrText>
            </w:r>
            <w:r w:rsidR="00D373A6">
              <w:rPr>
                <w:noProof/>
                <w:webHidden/>
              </w:rPr>
            </w:r>
            <w:r w:rsidR="00D373A6">
              <w:rPr>
                <w:noProof/>
                <w:webHidden/>
              </w:rPr>
              <w:fldChar w:fldCharType="separate"/>
            </w:r>
            <w:r w:rsidR="003124D1">
              <w:rPr>
                <w:noProof/>
                <w:webHidden/>
              </w:rPr>
              <w:t>131</w:t>
            </w:r>
            <w:r w:rsidR="00D373A6">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27" w:history="1">
            <w:r w:rsidR="00D373A6" w:rsidRPr="00401064">
              <w:rPr>
                <w:rStyle w:val="Hyperlink"/>
                <w:noProof/>
              </w:rPr>
              <w:t>Separations by Disability Status</w:t>
            </w:r>
            <w:r w:rsidR="00D373A6">
              <w:rPr>
                <w:noProof/>
                <w:webHidden/>
              </w:rPr>
              <w:tab/>
            </w:r>
            <w:r w:rsidR="00D373A6">
              <w:rPr>
                <w:noProof/>
                <w:webHidden/>
              </w:rPr>
              <w:fldChar w:fldCharType="begin"/>
            </w:r>
            <w:r w:rsidR="00D373A6">
              <w:rPr>
                <w:noProof/>
                <w:webHidden/>
              </w:rPr>
              <w:instrText xml:space="preserve"> PAGEREF _Toc411523427 \h </w:instrText>
            </w:r>
            <w:r w:rsidR="00D373A6">
              <w:rPr>
                <w:noProof/>
                <w:webHidden/>
              </w:rPr>
            </w:r>
            <w:r w:rsidR="00D373A6">
              <w:rPr>
                <w:noProof/>
                <w:webHidden/>
              </w:rPr>
              <w:fldChar w:fldCharType="separate"/>
            </w:r>
            <w:r w:rsidR="003124D1">
              <w:rPr>
                <w:noProof/>
                <w:webHidden/>
              </w:rPr>
              <w:t>133</w:t>
            </w:r>
            <w:r w:rsidR="00D373A6">
              <w:rPr>
                <w:noProof/>
                <w:webHidden/>
              </w:rPr>
              <w:fldChar w:fldCharType="end"/>
            </w:r>
          </w:hyperlink>
        </w:p>
        <w:p w:rsidR="00D373A6" w:rsidRDefault="00F46F82" w:rsidP="00D373A6">
          <w:pPr>
            <w:pStyle w:val="TOC1"/>
            <w:tabs>
              <w:tab w:val="right" w:leader="dot" w:pos="9350"/>
            </w:tabs>
            <w:rPr>
              <w:rFonts w:eastAsiaTheme="minorEastAsia"/>
              <w:b/>
              <w:noProof/>
              <w:sz w:val="22"/>
              <w:szCs w:val="22"/>
            </w:rPr>
          </w:pPr>
          <w:hyperlink w:anchor="_Toc411523428" w:history="1">
            <w:r w:rsidR="00D373A6" w:rsidRPr="00401064">
              <w:rPr>
                <w:rStyle w:val="Hyperlink"/>
                <w:noProof/>
              </w:rPr>
              <w:t>Upward Mobility Analysis</w:t>
            </w:r>
            <w:r w:rsidR="00D373A6">
              <w:rPr>
                <w:noProof/>
                <w:webHidden/>
              </w:rPr>
              <w:tab/>
            </w:r>
            <w:r w:rsidR="00D373A6">
              <w:rPr>
                <w:noProof/>
                <w:webHidden/>
              </w:rPr>
              <w:fldChar w:fldCharType="begin"/>
            </w:r>
            <w:r w:rsidR="00D373A6">
              <w:rPr>
                <w:noProof/>
                <w:webHidden/>
              </w:rPr>
              <w:instrText xml:space="preserve"> PAGEREF _Toc411523428 \h </w:instrText>
            </w:r>
            <w:r w:rsidR="00D373A6">
              <w:rPr>
                <w:noProof/>
                <w:webHidden/>
              </w:rPr>
            </w:r>
            <w:r w:rsidR="00D373A6">
              <w:rPr>
                <w:noProof/>
                <w:webHidden/>
              </w:rPr>
              <w:fldChar w:fldCharType="separate"/>
            </w:r>
            <w:r w:rsidR="003124D1">
              <w:rPr>
                <w:noProof/>
                <w:webHidden/>
              </w:rPr>
              <w:t>134</w:t>
            </w:r>
            <w:r w:rsidR="00D373A6">
              <w:rPr>
                <w:noProof/>
                <w:webHidden/>
              </w:rPr>
              <w:fldChar w:fldCharType="end"/>
            </w:r>
          </w:hyperlink>
        </w:p>
        <w:p w:rsidR="00D373A6" w:rsidRDefault="00F46F82" w:rsidP="00D373A6">
          <w:pPr>
            <w:pStyle w:val="TOC1"/>
            <w:tabs>
              <w:tab w:val="right" w:leader="dot" w:pos="9350"/>
            </w:tabs>
            <w:rPr>
              <w:rFonts w:eastAsiaTheme="minorEastAsia"/>
              <w:b/>
              <w:noProof/>
              <w:sz w:val="22"/>
              <w:szCs w:val="22"/>
            </w:rPr>
          </w:pPr>
          <w:hyperlink w:anchor="_Toc411523429" w:history="1">
            <w:r w:rsidR="00D373A6" w:rsidRPr="00401064">
              <w:rPr>
                <w:rStyle w:val="Hyperlink"/>
                <w:noProof/>
              </w:rPr>
              <w:t>Applicant Flow</w:t>
            </w:r>
            <w:r w:rsidR="00D373A6">
              <w:rPr>
                <w:noProof/>
                <w:webHidden/>
              </w:rPr>
              <w:tab/>
            </w:r>
            <w:r w:rsidR="00D373A6">
              <w:rPr>
                <w:noProof/>
                <w:webHidden/>
              </w:rPr>
              <w:fldChar w:fldCharType="begin"/>
            </w:r>
            <w:r w:rsidR="00D373A6">
              <w:rPr>
                <w:noProof/>
                <w:webHidden/>
              </w:rPr>
              <w:instrText xml:space="preserve"> PAGEREF _Toc411523429 \h </w:instrText>
            </w:r>
            <w:r w:rsidR="00D373A6">
              <w:rPr>
                <w:noProof/>
                <w:webHidden/>
              </w:rPr>
            </w:r>
            <w:r w:rsidR="00D373A6">
              <w:rPr>
                <w:noProof/>
                <w:webHidden/>
              </w:rPr>
              <w:fldChar w:fldCharType="separate"/>
            </w:r>
            <w:r w:rsidR="003124D1">
              <w:rPr>
                <w:noProof/>
                <w:webHidden/>
              </w:rPr>
              <w:t>146</w:t>
            </w:r>
            <w:r w:rsidR="00D373A6">
              <w:rPr>
                <w:noProof/>
                <w:webHidden/>
              </w:rPr>
              <w:fldChar w:fldCharType="end"/>
            </w:r>
          </w:hyperlink>
        </w:p>
        <w:p w:rsidR="00D373A6" w:rsidRDefault="00F46F82" w:rsidP="00D373A6">
          <w:pPr>
            <w:pStyle w:val="TOC1"/>
            <w:tabs>
              <w:tab w:val="right" w:leader="dot" w:pos="9350"/>
            </w:tabs>
            <w:rPr>
              <w:rFonts w:eastAsiaTheme="minorEastAsia"/>
              <w:b/>
              <w:noProof/>
              <w:sz w:val="22"/>
              <w:szCs w:val="22"/>
            </w:rPr>
          </w:pPr>
          <w:hyperlink w:anchor="_Toc411523430" w:history="1">
            <w:r w:rsidR="00D373A6" w:rsidRPr="00401064">
              <w:rPr>
                <w:rStyle w:val="Hyperlink"/>
                <w:noProof/>
              </w:rPr>
              <w:t>Mission Critical Occupations</w:t>
            </w:r>
            <w:r w:rsidR="00D373A6">
              <w:rPr>
                <w:noProof/>
                <w:webHidden/>
              </w:rPr>
              <w:tab/>
            </w:r>
            <w:r w:rsidR="00D373A6">
              <w:rPr>
                <w:noProof/>
                <w:webHidden/>
              </w:rPr>
              <w:fldChar w:fldCharType="begin"/>
            </w:r>
            <w:r w:rsidR="00D373A6">
              <w:rPr>
                <w:noProof/>
                <w:webHidden/>
              </w:rPr>
              <w:instrText xml:space="preserve"> PAGEREF _Toc411523430 \h </w:instrText>
            </w:r>
            <w:r w:rsidR="00D373A6">
              <w:rPr>
                <w:noProof/>
                <w:webHidden/>
              </w:rPr>
            </w:r>
            <w:r w:rsidR="00D373A6">
              <w:rPr>
                <w:noProof/>
                <w:webHidden/>
              </w:rPr>
              <w:fldChar w:fldCharType="separate"/>
            </w:r>
            <w:r w:rsidR="003124D1">
              <w:rPr>
                <w:noProof/>
                <w:webHidden/>
              </w:rPr>
              <w:t>147</w:t>
            </w:r>
            <w:r w:rsidR="00D373A6">
              <w:rPr>
                <w:noProof/>
                <w:webHidden/>
              </w:rPr>
              <w:fldChar w:fldCharType="end"/>
            </w:r>
          </w:hyperlink>
        </w:p>
        <w:p w:rsidR="00D373A6" w:rsidRDefault="00F46F82" w:rsidP="00D373A6">
          <w:pPr>
            <w:pStyle w:val="TOC1"/>
            <w:tabs>
              <w:tab w:val="right" w:leader="dot" w:pos="9350"/>
            </w:tabs>
            <w:rPr>
              <w:rFonts w:eastAsiaTheme="minorEastAsia"/>
              <w:b/>
              <w:noProof/>
              <w:sz w:val="22"/>
              <w:szCs w:val="22"/>
            </w:rPr>
          </w:pPr>
          <w:hyperlink w:anchor="_Toc411523431" w:history="1">
            <w:r w:rsidR="00D373A6" w:rsidRPr="00401064">
              <w:rPr>
                <w:rStyle w:val="Hyperlink"/>
                <w:noProof/>
              </w:rPr>
              <w:t>Investigator Workforce</w:t>
            </w:r>
            <w:r w:rsidR="00D373A6">
              <w:rPr>
                <w:noProof/>
                <w:webHidden/>
              </w:rPr>
              <w:tab/>
            </w:r>
            <w:r w:rsidR="00D373A6">
              <w:rPr>
                <w:noProof/>
                <w:webHidden/>
              </w:rPr>
              <w:fldChar w:fldCharType="begin"/>
            </w:r>
            <w:r w:rsidR="00D373A6">
              <w:rPr>
                <w:noProof/>
                <w:webHidden/>
              </w:rPr>
              <w:instrText xml:space="preserve"> PAGEREF _Toc411523431 \h </w:instrText>
            </w:r>
            <w:r w:rsidR="00D373A6">
              <w:rPr>
                <w:noProof/>
                <w:webHidden/>
              </w:rPr>
            </w:r>
            <w:r w:rsidR="00D373A6">
              <w:rPr>
                <w:noProof/>
                <w:webHidden/>
              </w:rPr>
              <w:fldChar w:fldCharType="separate"/>
            </w:r>
            <w:r w:rsidR="003124D1">
              <w:rPr>
                <w:noProof/>
                <w:webHidden/>
              </w:rPr>
              <w:t>150</w:t>
            </w:r>
            <w:r w:rsidR="00D373A6">
              <w:rPr>
                <w:noProof/>
                <w:webHidden/>
              </w:rPr>
              <w:fldChar w:fldCharType="end"/>
            </w:r>
          </w:hyperlink>
        </w:p>
        <w:p w:rsidR="00D373A6" w:rsidRDefault="00F46F82" w:rsidP="00D373A6">
          <w:pPr>
            <w:pStyle w:val="TOC2"/>
            <w:tabs>
              <w:tab w:val="right" w:leader="dot" w:pos="9350"/>
            </w:tabs>
            <w:rPr>
              <w:rFonts w:eastAsiaTheme="minorEastAsia"/>
              <w:b/>
              <w:noProof/>
            </w:rPr>
          </w:pPr>
          <w:hyperlink w:anchor="_Toc411523432" w:history="1">
            <w:r w:rsidR="00D373A6" w:rsidRPr="00401064">
              <w:rPr>
                <w:rStyle w:val="Hyperlink"/>
                <w:noProof/>
              </w:rPr>
              <w:t>Senior Investigator Workforce</w:t>
            </w:r>
            <w:r w:rsidR="00D373A6">
              <w:rPr>
                <w:noProof/>
                <w:webHidden/>
              </w:rPr>
              <w:tab/>
            </w:r>
            <w:r w:rsidR="00D373A6">
              <w:rPr>
                <w:noProof/>
                <w:webHidden/>
              </w:rPr>
              <w:fldChar w:fldCharType="begin"/>
            </w:r>
            <w:r w:rsidR="00D373A6">
              <w:rPr>
                <w:noProof/>
                <w:webHidden/>
              </w:rPr>
              <w:instrText xml:space="preserve"> PAGEREF _Toc411523432 \h </w:instrText>
            </w:r>
            <w:r w:rsidR="00D373A6">
              <w:rPr>
                <w:noProof/>
                <w:webHidden/>
              </w:rPr>
            </w:r>
            <w:r w:rsidR="00D373A6">
              <w:rPr>
                <w:noProof/>
                <w:webHidden/>
              </w:rPr>
              <w:fldChar w:fldCharType="separate"/>
            </w:r>
            <w:r w:rsidR="003124D1">
              <w:rPr>
                <w:noProof/>
                <w:webHidden/>
              </w:rPr>
              <w:t>151</w:t>
            </w:r>
            <w:r w:rsidR="00D373A6">
              <w:rPr>
                <w:noProof/>
                <w:webHidden/>
              </w:rPr>
              <w:fldChar w:fldCharType="end"/>
            </w:r>
          </w:hyperlink>
        </w:p>
        <w:p w:rsidR="00D373A6" w:rsidRDefault="00F46F82" w:rsidP="00D373A6">
          <w:pPr>
            <w:pStyle w:val="TOC1"/>
            <w:tabs>
              <w:tab w:val="right" w:leader="dot" w:pos="9350"/>
            </w:tabs>
            <w:rPr>
              <w:rFonts w:eastAsiaTheme="minorEastAsia"/>
              <w:b/>
              <w:noProof/>
              <w:sz w:val="22"/>
              <w:szCs w:val="22"/>
            </w:rPr>
          </w:pPr>
          <w:hyperlink w:anchor="_Toc411523433" w:history="1">
            <w:r w:rsidR="00D373A6" w:rsidRPr="00401064">
              <w:rPr>
                <w:rStyle w:val="Hyperlink"/>
                <w:noProof/>
              </w:rPr>
              <w:t>Lab and Branch Chief Workforce</w:t>
            </w:r>
            <w:r w:rsidR="00D373A6">
              <w:rPr>
                <w:noProof/>
                <w:webHidden/>
              </w:rPr>
              <w:tab/>
            </w:r>
            <w:r w:rsidR="00D373A6">
              <w:rPr>
                <w:noProof/>
                <w:webHidden/>
              </w:rPr>
              <w:fldChar w:fldCharType="begin"/>
            </w:r>
            <w:r w:rsidR="00D373A6">
              <w:rPr>
                <w:noProof/>
                <w:webHidden/>
              </w:rPr>
              <w:instrText xml:space="preserve"> PAGEREF _Toc411523433 \h </w:instrText>
            </w:r>
            <w:r w:rsidR="00D373A6">
              <w:rPr>
                <w:noProof/>
                <w:webHidden/>
              </w:rPr>
            </w:r>
            <w:r w:rsidR="00D373A6">
              <w:rPr>
                <w:noProof/>
                <w:webHidden/>
              </w:rPr>
              <w:fldChar w:fldCharType="separate"/>
            </w:r>
            <w:r w:rsidR="003124D1">
              <w:rPr>
                <w:noProof/>
                <w:webHidden/>
              </w:rPr>
              <w:t>152</w:t>
            </w:r>
            <w:r w:rsidR="00D373A6">
              <w:rPr>
                <w:noProof/>
                <w:webHidden/>
              </w:rPr>
              <w:fldChar w:fldCharType="end"/>
            </w:r>
          </w:hyperlink>
        </w:p>
        <w:p w:rsidR="00D373A6" w:rsidRDefault="00D373A6" w:rsidP="00D373A6">
          <w:r>
            <w:rPr>
              <w:b/>
              <w:bCs/>
              <w:noProof/>
            </w:rPr>
            <w:fldChar w:fldCharType="end"/>
          </w:r>
        </w:p>
      </w:sdtContent>
    </w:sdt>
    <w:p w:rsidR="00D373A6" w:rsidRPr="00EE651E" w:rsidRDefault="00D373A6" w:rsidP="00D373A6">
      <w:pPr>
        <w:spacing w:after="0" w:line="240" w:lineRule="auto"/>
        <w:jc w:val="center"/>
        <w:rPr>
          <w:sz w:val="24"/>
          <w:szCs w:val="24"/>
        </w:rPr>
      </w:pPr>
    </w:p>
    <w:p w:rsidR="00D373A6" w:rsidRPr="00EE651E" w:rsidRDefault="00D373A6" w:rsidP="00D373A6">
      <w:pPr>
        <w:spacing w:after="0" w:line="240" w:lineRule="auto"/>
        <w:jc w:val="center"/>
        <w:rPr>
          <w:sz w:val="24"/>
          <w:szCs w:val="24"/>
        </w:rPr>
      </w:pPr>
    </w:p>
    <w:p w:rsidR="00D373A6" w:rsidRPr="00EE651E" w:rsidRDefault="00D373A6" w:rsidP="00D373A6">
      <w:pPr>
        <w:spacing w:line="240" w:lineRule="auto"/>
        <w:jc w:val="center"/>
        <w:rPr>
          <w:rFonts w:asciiTheme="majorHAnsi" w:eastAsiaTheme="majorEastAsia" w:hAnsiTheme="majorHAnsi" w:cstheme="majorBidi"/>
          <w:b/>
          <w:bCs/>
          <w:color w:val="4F81BD" w:themeColor="accent1"/>
          <w:sz w:val="24"/>
          <w:szCs w:val="24"/>
        </w:rPr>
      </w:pPr>
      <w:r w:rsidRPr="00EE651E">
        <w:rPr>
          <w:sz w:val="24"/>
          <w:szCs w:val="24"/>
        </w:rPr>
        <w:br w:type="page"/>
      </w:r>
    </w:p>
    <w:p w:rsidR="00D373A6" w:rsidRPr="00EE651E" w:rsidRDefault="00D373A6" w:rsidP="00D373A6">
      <w:pPr>
        <w:pStyle w:val="Heading1"/>
      </w:pPr>
      <w:bookmarkStart w:id="15" w:name="_Toc283564181"/>
      <w:bookmarkStart w:id="16" w:name="_Toc411523419"/>
      <w:r w:rsidRPr="00EE651E">
        <w:lastRenderedPageBreak/>
        <w:t>Composition of the NIH Total Workforce</w:t>
      </w:r>
      <w:bookmarkEnd w:id="15"/>
      <w:bookmarkEnd w:id="16"/>
      <w:r w:rsidRPr="00EE651E">
        <w:br/>
      </w:r>
    </w:p>
    <w:p w:rsidR="00D373A6" w:rsidRPr="00EE651E" w:rsidRDefault="00D373A6" w:rsidP="00D373A6">
      <w:pPr>
        <w:spacing w:after="0" w:line="240" w:lineRule="auto"/>
        <w:rPr>
          <w:rFonts w:ascii="Times New Roman" w:eastAsia="MS Mincho" w:hAnsi="Times New Roman" w:cs="Times New Roman"/>
          <w:sz w:val="24"/>
          <w:szCs w:val="24"/>
        </w:rPr>
      </w:pPr>
      <w:bookmarkStart w:id="17" w:name="_Toc404666560"/>
      <w:r w:rsidRPr="00EE651E">
        <w:rPr>
          <w:rFonts w:ascii="Times New Roman" w:eastAsia="MS Mincho" w:hAnsi="Times New Roman" w:cs="Times New Roman"/>
          <w:sz w:val="24"/>
          <w:szCs w:val="24"/>
        </w:rPr>
        <w:t>During FY 2014, NIH’s total workforce</w:t>
      </w:r>
      <w:r w:rsidR="00D05547">
        <w:rPr>
          <w:rFonts w:ascii="Times New Roman" w:eastAsia="MS Mincho" w:hAnsi="Times New Roman" w:cs="Times New Roman"/>
          <w:sz w:val="24"/>
          <w:szCs w:val="24"/>
        </w:rPr>
        <w:t xml:space="preserve"> (permanent, temporary</w:t>
      </w:r>
      <w:r w:rsidRPr="00EE651E">
        <w:rPr>
          <w:rFonts w:ascii="Times New Roman" w:eastAsia="MS Mincho" w:hAnsi="Times New Roman" w:cs="Times New Roman"/>
          <w:sz w:val="24"/>
          <w:szCs w:val="24"/>
        </w:rPr>
        <w:t xml:space="preserve">) included 18,069 employees according to the Business Intelligence Information System (BIIS).  </w:t>
      </w:r>
      <w:r w:rsidRPr="00EE651E">
        <w:rPr>
          <w:rFonts w:ascii="Times New Roman" w:hAnsi="Times New Roman" w:cs="Times New Roman"/>
          <w:sz w:val="24"/>
          <w:szCs w:val="24"/>
        </w:rPr>
        <w:t>This includes 58.3% (10,527) males and 41.7% (7,542) females.</w:t>
      </w:r>
    </w:p>
    <w:p w:rsidR="00D373A6" w:rsidRPr="00EE651E" w:rsidRDefault="00D373A6" w:rsidP="00D373A6">
      <w:pPr>
        <w:spacing w:after="0" w:line="240" w:lineRule="auto"/>
        <w:rPr>
          <w:rFonts w:ascii="Times New Roman" w:eastAsia="MS Mincho" w:hAnsi="Times New Roman" w:cs="Times New Roman"/>
          <w:sz w:val="24"/>
          <w:szCs w:val="24"/>
        </w:rPr>
      </w:pPr>
    </w:p>
    <w:p w:rsidR="00D373A6" w:rsidRPr="00EE651E" w:rsidRDefault="00D373A6" w:rsidP="00D373A6">
      <w:pPr>
        <w:spacing w:after="0" w:line="240" w:lineRule="auto"/>
        <w:rPr>
          <w:rFonts w:ascii="Times New Roman" w:eastAsia="MS Mincho" w:hAnsi="Times New Roman" w:cs="Times New Roman"/>
          <w:sz w:val="24"/>
          <w:szCs w:val="24"/>
        </w:rPr>
      </w:pPr>
      <w:r w:rsidRPr="00EE651E">
        <w:rPr>
          <w:rFonts w:ascii="Times New Roman" w:hAnsi="Times New Roman" w:cs="Times New Roman"/>
          <w:noProof/>
          <w:sz w:val="24"/>
          <w:szCs w:val="24"/>
        </w:rPr>
        <w:drawing>
          <wp:inline distT="0" distB="0" distL="0" distR="0" wp14:anchorId="4884EE76" wp14:editId="2EBD084C">
            <wp:extent cx="5486400" cy="2214245"/>
            <wp:effectExtent l="0" t="0" r="19050" b="14605"/>
            <wp:docPr id="1" name="Chart 1" descr="This pie chart shows the NIH workforce by sex, excluding the CC and EI pay plans. 58.3% are female, and 41.7% are male." title="All NIH Workforce by Sex as of 4thQ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373A6" w:rsidRPr="00EE651E" w:rsidRDefault="00D373A6" w:rsidP="00D373A6">
      <w:pPr>
        <w:spacing w:after="0" w:line="240" w:lineRule="auto"/>
        <w:rPr>
          <w:rFonts w:ascii="Times New Roman" w:eastAsia="MS Mincho" w:hAnsi="Times New Roman" w:cs="Times New Roman"/>
          <w:sz w:val="16"/>
          <w:szCs w:val="16"/>
        </w:rPr>
      </w:pPr>
      <w:r w:rsidRPr="00EE651E">
        <w:rPr>
          <w:rFonts w:ascii="Times New Roman" w:eastAsia="MS Mincho" w:hAnsi="Times New Roman" w:cs="Times New Roman"/>
          <w:sz w:val="16"/>
          <w:szCs w:val="16"/>
        </w:rPr>
        <w:t>Commissioned Corps and Foreign Nationals overseas are not included</w:t>
      </w:r>
    </w:p>
    <w:p w:rsidR="00D373A6" w:rsidRPr="00EE651E" w:rsidRDefault="00D373A6" w:rsidP="00D373A6">
      <w:pPr>
        <w:spacing w:after="0" w:line="240" w:lineRule="auto"/>
        <w:rPr>
          <w:rFonts w:ascii="Times New Roman" w:eastAsia="MS Mincho" w:hAnsi="Times New Roman" w:cs="Times New Roman"/>
          <w:sz w:val="16"/>
          <w:szCs w:val="16"/>
        </w:rPr>
      </w:pPr>
      <w:r w:rsidRPr="00EE651E">
        <w:rPr>
          <w:rFonts w:ascii="Times New Roman" w:eastAsia="MS Mincho" w:hAnsi="Times New Roman" w:cs="Times New Roman"/>
          <w:sz w:val="16"/>
          <w:szCs w:val="16"/>
        </w:rPr>
        <w:t>Permanent is Tenure 1 or 2 or pay plan ES or RS.  Temporary is everyone who is not permanent.</w:t>
      </w:r>
    </w:p>
    <w:p w:rsidR="00D373A6" w:rsidRPr="00EE651E" w:rsidRDefault="00D373A6" w:rsidP="00D373A6">
      <w:pPr>
        <w:spacing w:after="0" w:line="240" w:lineRule="auto"/>
        <w:rPr>
          <w:rFonts w:ascii="Times New Roman" w:eastAsia="MS Mincho" w:hAnsi="Times New Roman" w:cs="Times New Roman"/>
          <w:sz w:val="16"/>
          <w:szCs w:val="16"/>
        </w:rPr>
      </w:pPr>
      <w:r w:rsidRPr="00EE651E">
        <w:rPr>
          <w:rFonts w:ascii="Times New Roman" w:eastAsia="MS Mincho" w:hAnsi="Times New Roman" w:cs="Times New Roman"/>
          <w:sz w:val="16"/>
          <w:szCs w:val="16"/>
        </w:rPr>
        <w:t>Source:  BIIS Table A1 as of September 30, 2014</w:t>
      </w:r>
    </w:p>
    <w:p w:rsidR="0099183A" w:rsidRDefault="0099183A" w:rsidP="0099183A"/>
    <w:p w:rsidR="00D373A6" w:rsidRPr="0099183A" w:rsidRDefault="0099183A" w:rsidP="0099183A">
      <w:r>
        <w:rPr>
          <w:noProof/>
        </w:rPr>
        <w:drawing>
          <wp:inline distT="0" distB="0" distL="0" distR="0" wp14:anchorId="3BFB5BEB" wp14:editId="35020B28">
            <wp:extent cx="5943600" cy="2811145"/>
            <wp:effectExtent l="0" t="0" r="19050" b="27305"/>
            <wp:docPr id="5" name="Chart 5" descr="This bar chart shows the NIH Workforce Compared to 2010 Civilian Labor Force as of 4thQ FY 2014 by Race/Ethnicity and Sex.&#10;" title="All NIH Workforce Compared to 2010 Civilian Labor Force as of 4thQ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D373A6">
        <w:rPr>
          <w:rFonts w:ascii="Times New Roman" w:eastAsia="MS Mincho" w:hAnsi="Times New Roman" w:cs="Times New Roman"/>
          <w:sz w:val="24"/>
          <w:szCs w:val="24"/>
        </w:rPr>
        <w:t xml:space="preserve"> </w:t>
      </w:r>
    </w:p>
    <w:p w:rsidR="00D373A6" w:rsidRPr="00EE651E" w:rsidRDefault="00D373A6" w:rsidP="00D373A6">
      <w:pPr>
        <w:spacing w:after="0" w:line="240" w:lineRule="auto"/>
        <w:rPr>
          <w:rFonts w:ascii="Times New Roman" w:eastAsia="MS Mincho" w:hAnsi="Times New Roman" w:cs="Times New Roman"/>
          <w:sz w:val="16"/>
          <w:szCs w:val="16"/>
        </w:rPr>
      </w:pPr>
      <w:r w:rsidRPr="00EE651E">
        <w:rPr>
          <w:rFonts w:ascii="Times New Roman" w:eastAsia="MS Mincho" w:hAnsi="Times New Roman" w:cs="Times New Roman"/>
          <w:sz w:val="16"/>
          <w:szCs w:val="16"/>
        </w:rPr>
        <w:t>Commissioned Corps and Foreign Nationals overseas are not included</w:t>
      </w:r>
    </w:p>
    <w:p w:rsidR="00D373A6" w:rsidRPr="00EE651E" w:rsidRDefault="00D373A6" w:rsidP="00D373A6">
      <w:pPr>
        <w:spacing w:after="0" w:line="240" w:lineRule="auto"/>
        <w:rPr>
          <w:rFonts w:ascii="Times New Roman" w:eastAsia="MS Mincho" w:hAnsi="Times New Roman" w:cs="Times New Roman"/>
          <w:sz w:val="16"/>
          <w:szCs w:val="16"/>
        </w:rPr>
      </w:pPr>
      <w:r w:rsidRPr="00EE651E">
        <w:rPr>
          <w:rFonts w:ascii="Times New Roman" w:eastAsia="MS Mincho" w:hAnsi="Times New Roman" w:cs="Times New Roman"/>
          <w:sz w:val="16"/>
          <w:szCs w:val="16"/>
        </w:rPr>
        <w:t>Permanent is Tenure 1 or 2 or pay plan ES or RS.  Temporary is everyone who is not permanent.</w:t>
      </w:r>
    </w:p>
    <w:p w:rsidR="00D373A6" w:rsidRPr="00EE651E" w:rsidRDefault="00D373A6" w:rsidP="00D373A6">
      <w:pPr>
        <w:spacing w:after="0" w:line="240" w:lineRule="auto"/>
        <w:rPr>
          <w:rFonts w:ascii="Times New Roman" w:eastAsia="MS Mincho" w:hAnsi="Times New Roman" w:cs="Times New Roman"/>
          <w:sz w:val="16"/>
          <w:szCs w:val="16"/>
        </w:rPr>
      </w:pPr>
      <w:r w:rsidRPr="00EE651E">
        <w:rPr>
          <w:rFonts w:ascii="Times New Roman" w:eastAsia="MS Mincho" w:hAnsi="Times New Roman" w:cs="Times New Roman"/>
          <w:sz w:val="16"/>
          <w:szCs w:val="16"/>
        </w:rPr>
        <w:t>Source:  BIIS Table A1 as of September 30, 2014</w:t>
      </w:r>
    </w:p>
    <w:p w:rsidR="00D373A6" w:rsidRPr="00EE651E" w:rsidRDefault="00D373A6" w:rsidP="00D373A6">
      <w:pPr>
        <w:spacing w:after="0" w:line="240" w:lineRule="auto"/>
        <w:rPr>
          <w:rFonts w:ascii="Times New Roman" w:eastAsia="MS Mincho" w:hAnsi="Times New Roman" w:cs="Times New Roman"/>
          <w:sz w:val="24"/>
          <w:szCs w:val="24"/>
        </w:rPr>
      </w:pPr>
    </w:p>
    <w:p w:rsidR="00D373A6" w:rsidRDefault="00D373A6" w:rsidP="00D373A6">
      <w:pPr>
        <w:spacing w:line="240" w:lineRule="auto"/>
        <w:rPr>
          <w:rFonts w:ascii="Times New Roman" w:hAnsi="Times New Roman" w:cs="Times New Roman"/>
          <w:sz w:val="24"/>
          <w:szCs w:val="24"/>
        </w:rPr>
      </w:pPr>
      <w:r w:rsidRPr="00EE651E">
        <w:rPr>
          <w:rFonts w:ascii="Times New Roman" w:hAnsi="Times New Roman" w:cs="Times New Roman"/>
          <w:sz w:val="24"/>
          <w:szCs w:val="24"/>
        </w:rPr>
        <w:t xml:space="preserve">While the NIH workforce numbers are decreasing yearly, by </w:t>
      </w:r>
      <w:r w:rsidRPr="00EE651E">
        <w:rPr>
          <w:rFonts w:ascii="Times New Roman" w:eastAsia="MS Mincho" w:hAnsi="Times New Roman" w:cs="Times New Roman"/>
          <w:sz w:val="24"/>
          <w:szCs w:val="24"/>
        </w:rPr>
        <w:t>1.</w:t>
      </w:r>
      <w:r>
        <w:rPr>
          <w:rFonts w:ascii="Times New Roman" w:eastAsia="MS Mincho" w:hAnsi="Times New Roman" w:cs="Times New Roman"/>
          <w:sz w:val="24"/>
          <w:szCs w:val="24"/>
        </w:rPr>
        <w:t>6</w:t>
      </w:r>
      <w:r w:rsidRPr="00EE651E">
        <w:rPr>
          <w:rFonts w:ascii="Times New Roman" w:eastAsia="MS Mincho" w:hAnsi="Times New Roman" w:cs="Times New Roman"/>
          <w:sz w:val="24"/>
          <w:szCs w:val="24"/>
        </w:rPr>
        <w:t xml:space="preserve">% (303) </w:t>
      </w:r>
      <w:r w:rsidRPr="00EE651E">
        <w:rPr>
          <w:rFonts w:ascii="Times New Roman" w:hAnsi="Times New Roman" w:cs="Times New Roman"/>
          <w:sz w:val="24"/>
          <w:szCs w:val="24"/>
        </w:rPr>
        <w:t xml:space="preserve">from FY 2013 to FY 2014, </w:t>
      </w:r>
      <w:r w:rsidRPr="00EE651E">
        <w:rPr>
          <w:rFonts w:ascii="Times New Roman" w:eastAsia="MS Mincho" w:hAnsi="Times New Roman" w:cs="Times New Roman"/>
          <w:sz w:val="24"/>
          <w:szCs w:val="24"/>
        </w:rPr>
        <w:t xml:space="preserve">by 1.0% (190) individuals from FY 2012 to FY 2013, and by 0.5% (89) individuals from </w:t>
      </w:r>
      <w:r w:rsidRPr="00EE651E">
        <w:rPr>
          <w:rFonts w:ascii="Times New Roman" w:eastAsia="MS Mincho" w:hAnsi="Times New Roman" w:cs="Times New Roman"/>
          <w:sz w:val="24"/>
          <w:szCs w:val="24"/>
        </w:rPr>
        <w:lastRenderedPageBreak/>
        <w:t xml:space="preserve">FY 2011 to FY 2012, </w:t>
      </w:r>
      <w:r w:rsidRPr="00EE651E">
        <w:rPr>
          <w:rFonts w:ascii="Times New Roman" w:hAnsi="Times New Roman" w:cs="Times New Roman"/>
          <w:sz w:val="24"/>
          <w:szCs w:val="24"/>
        </w:rPr>
        <w:t xml:space="preserve">the percentages for each group are relatively constant.  Therefore, participation rates of populations in terms of race, ethnicity, sex, and disability status have stayed the same.  </w:t>
      </w:r>
    </w:p>
    <w:p w:rsidR="00D373A6" w:rsidRPr="0099183A" w:rsidRDefault="0099183A" w:rsidP="0099183A">
      <w:pPr>
        <w:spacing w:line="240" w:lineRule="auto"/>
        <w:rPr>
          <w:rFonts w:ascii="Times New Roman" w:hAnsi="Times New Roman" w:cs="Times New Roman"/>
          <w:sz w:val="24"/>
          <w:szCs w:val="24"/>
        </w:rPr>
      </w:pPr>
      <w:r w:rsidRPr="00EE651E">
        <w:rPr>
          <w:noProof/>
        </w:rPr>
        <w:drawing>
          <wp:inline distT="0" distB="0" distL="0" distR="0" wp14:anchorId="1E4E899B" wp14:editId="4601C42B">
            <wp:extent cx="5943600" cy="2857500"/>
            <wp:effectExtent l="0" t="0" r="19050" b="19050"/>
            <wp:docPr id="6" name="Chart 6" descr="This bar chart shows the net change from FY 2013 to FY 2014 in the NIH Workforce Compared to 2010 Civilian Labor Force.&#10;" title="All NIH Workforce Compared to 2010 Civilian Labor Force as of 4thQ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373A6" w:rsidRPr="000C0C45">
        <w:rPr>
          <w:rFonts w:ascii="Times New Roman" w:eastAsia="MS Mincho" w:hAnsi="Times New Roman" w:cs="Times New Roman"/>
          <w:sz w:val="16"/>
          <w:szCs w:val="16"/>
        </w:rPr>
        <w:t>Commissioned Corps and Foreign Nationals overseas are not included</w:t>
      </w:r>
      <w:r>
        <w:rPr>
          <w:rFonts w:ascii="Times New Roman" w:hAnsi="Times New Roman" w:cs="Times New Roman"/>
          <w:sz w:val="24"/>
          <w:szCs w:val="24"/>
        </w:rPr>
        <w:br/>
      </w:r>
      <w:r w:rsidR="00D373A6" w:rsidRPr="000C0C45">
        <w:rPr>
          <w:rFonts w:ascii="Times New Roman" w:eastAsia="MS Mincho" w:hAnsi="Times New Roman" w:cs="Times New Roman"/>
          <w:sz w:val="16"/>
          <w:szCs w:val="16"/>
        </w:rPr>
        <w:t>Permanent is Tenure 1 or 2 or pay plan ES or RS.  Temporary is everyone who is not permanent.</w:t>
      </w:r>
      <w:r>
        <w:rPr>
          <w:rFonts w:ascii="Times New Roman" w:hAnsi="Times New Roman" w:cs="Times New Roman"/>
          <w:sz w:val="24"/>
          <w:szCs w:val="24"/>
        </w:rPr>
        <w:br/>
      </w:r>
      <w:r w:rsidR="00D373A6" w:rsidRPr="000C0C45">
        <w:rPr>
          <w:rFonts w:ascii="Times New Roman" w:eastAsia="MS Mincho" w:hAnsi="Times New Roman" w:cs="Times New Roman"/>
          <w:sz w:val="16"/>
          <w:szCs w:val="16"/>
        </w:rPr>
        <w:t>Source:  BIIS Table A1 as of September 30, 2014</w:t>
      </w:r>
    </w:p>
    <w:p w:rsidR="00D373A6" w:rsidRPr="00EE651E" w:rsidRDefault="00D373A6" w:rsidP="00D373A6">
      <w:pPr>
        <w:spacing w:after="0" w:line="240" w:lineRule="auto"/>
        <w:rPr>
          <w:rFonts w:ascii="Times New Roman" w:eastAsia="MS Mincho" w:hAnsi="Times New Roman" w:cs="Times New Roman"/>
          <w:sz w:val="24"/>
          <w:szCs w:val="24"/>
        </w:rPr>
      </w:pPr>
    </w:p>
    <w:p w:rsidR="00D373A6" w:rsidRPr="00EE651E" w:rsidRDefault="00D373A6" w:rsidP="00D373A6">
      <w:pPr>
        <w:spacing w:after="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t xml:space="preserve">The largest race/ethnicity group was White at 58.7%, followed by; Black 20.4%, Asian/Pacific Islander 17.3%, Hispanic 3.0% and American Indian/Alaska Native 0.6%.  When compared with the general Civilian Labor Force </w:t>
      </w:r>
      <w:r>
        <w:rPr>
          <w:rFonts w:ascii="Times New Roman" w:eastAsia="MS Mincho" w:hAnsi="Times New Roman" w:cs="Times New Roman"/>
          <w:sz w:val="24"/>
          <w:szCs w:val="24"/>
        </w:rPr>
        <w:t xml:space="preserve">(CLF) </w:t>
      </w:r>
      <w:r w:rsidRPr="00EE651E">
        <w:rPr>
          <w:rFonts w:ascii="Times New Roman" w:eastAsia="MS Mincho" w:hAnsi="Times New Roman" w:cs="Times New Roman"/>
          <w:sz w:val="24"/>
          <w:szCs w:val="24"/>
        </w:rPr>
        <w:t xml:space="preserve">from </w:t>
      </w:r>
      <w:r>
        <w:rPr>
          <w:rFonts w:ascii="Times New Roman" w:eastAsia="MS Mincho" w:hAnsi="Times New Roman" w:cs="Times New Roman"/>
          <w:sz w:val="24"/>
          <w:szCs w:val="24"/>
        </w:rPr>
        <w:t xml:space="preserve">US </w:t>
      </w:r>
      <w:r w:rsidRPr="00EE651E">
        <w:rPr>
          <w:rFonts w:ascii="Times New Roman" w:eastAsia="MS Mincho" w:hAnsi="Times New Roman" w:cs="Times New Roman"/>
          <w:sz w:val="24"/>
          <w:szCs w:val="24"/>
        </w:rPr>
        <w:t>Census 2010</w:t>
      </w:r>
      <w:r>
        <w:rPr>
          <w:rFonts w:ascii="Times New Roman" w:eastAsia="MS Mincho" w:hAnsi="Times New Roman" w:cs="Times New Roman"/>
          <w:sz w:val="24"/>
          <w:szCs w:val="24"/>
        </w:rPr>
        <w:t xml:space="preserve"> data</w:t>
      </w:r>
      <w:r w:rsidRPr="00EE651E">
        <w:rPr>
          <w:rFonts w:ascii="Times New Roman" w:eastAsia="MS Mincho" w:hAnsi="Times New Roman" w:cs="Times New Roman"/>
          <w:sz w:val="24"/>
          <w:szCs w:val="24"/>
        </w:rPr>
        <w:t>, the following</w:t>
      </w:r>
      <w:r>
        <w:rPr>
          <w:rFonts w:ascii="Times New Roman" w:eastAsia="MS Mincho" w:hAnsi="Times New Roman" w:cs="Times New Roman"/>
          <w:sz w:val="24"/>
          <w:szCs w:val="24"/>
        </w:rPr>
        <w:t xml:space="preserve"> NIH race/ethnicity and sex groups had</w:t>
      </w:r>
      <w:r w:rsidRPr="00EE651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less than expected in comparison to their </w:t>
      </w:r>
      <w:r w:rsidRPr="00EE651E">
        <w:rPr>
          <w:rFonts w:ascii="Times New Roman" w:eastAsia="MS Mincho" w:hAnsi="Times New Roman" w:cs="Times New Roman"/>
          <w:sz w:val="24"/>
          <w:szCs w:val="24"/>
        </w:rPr>
        <w:t>representation</w:t>
      </w:r>
      <w:r>
        <w:rPr>
          <w:rFonts w:ascii="Times New Roman" w:eastAsia="MS Mincho" w:hAnsi="Times New Roman" w:cs="Times New Roman"/>
          <w:sz w:val="24"/>
          <w:szCs w:val="24"/>
        </w:rPr>
        <w:t xml:space="preserve"> in the CLF</w:t>
      </w:r>
      <w:r w:rsidRPr="00EE651E">
        <w:rPr>
          <w:rFonts w:ascii="Times New Roman" w:eastAsia="MS Mincho" w:hAnsi="Times New Roman" w:cs="Times New Roman"/>
          <w:sz w:val="24"/>
          <w:szCs w:val="24"/>
        </w:rPr>
        <w:t>:</w:t>
      </w:r>
    </w:p>
    <w:p w:rsidR="00D373A6" w:rsidRPr="00EE651E" w:rsidRDefault="00D373A6" w:rsidP="00D373A6">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t>
      </w:r>
      <w:r>
        <w:rPr>
          <w:rFonts w:ascii="Times New Roman" w:eastAsia="MS Mincho" w:hAnsi="Times New Roman" w:cs="Times New Roman"/>
          <w:sz w:val="24"/>
          <w:szCs w:val="24"/>
        </w:rPr>
        <w:tab/>
        <w:t>Hispanic</w:t>
      </w:r>
    </w:p>
    <w:p w:rsidR="00D373A6" w:rsidRPr="00EE651E" w:rsidRDefault="00D373A6" w:rsidP="00D373A6">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t>
      </w:r>
      <w:r>
        <w:rPr>
          <w:rFonts w:ascii="Times New Roman" w:eastAsia="MS Mincho" w:hAnsi="Times New Roman" w:cs="Times New Roman"/>
          <w:sz w:val="24"/>
          <w:szCs w:val="24"/>
        </w:rPr>
        <w:tab/>
        <w:t>American Indian/Alaska Native</w:t>
      </w:r>
    </w:p>
    <w:p w:rsidR="00D373A6" w:rsidRDefault="00D373A6" w:rsidP="00D373A6">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w:t>
      </w:r>
      <w:r>
        <w:rPr>
          <w:rFonts w:ascii="Times New Roman" w:eastAsia="MS Mincho" w:hAnsi="Times New Roman" w:cs="Times New Roman"/>
          <w:sz w:val="24"/>
          <w:szCs w:val="24"/>
        </w:rPr>
        <w:tab/>
        <w:t>White</w:t>
      </w:r>
    </w:p>
    <w:p w:rsidR="00D373A6" w:rsidRPr="00EE651E" w:rsidRDefault="00D373A6" w:rsidP="00D373A6">
      <w:pPr>
        <w:spacing w:after="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lastRenderedPageBreak/>
        <w:br/>
      </w:r>
      <w:r>
        <w:rPr>
          <w:noProof/>
        </w:rPr>
        <w:drawing>
          <wp:inline distT="0" distB="0" distL="0" distR="0" wp14:anchorId="348822AC" wp14:editId="65A6EB90">
            <wp:extent cx="5943600" cy="3056466"/>
            <wp:effectExtent l="0" t="0" r="19050" b="10795"/>
            <wp:docPr id="46" name="Chart 46" descr="This bar chart shows the RNO and Sex groups compared to the benchmark (2010 CLF). Hispanics, American Indian/Alaska Native, and Whites have less than expected in comparison to their representation in the CLF." title="FY 2014 NIH Workforce by RNO and Sex Compared to 2010 CLF"/>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73A6" w:rsidRPr="000C0C45" w:rsidRDefault="00D373A6" w:rsidP="00D373A6">
      <w:pPr>
        <w:spacing w:line="240" w:lineRule="auto"/>
        <w:rPr>
          <w:rFonts w:eastAsia="MS Mincho"/>
        </w:rPr>
      </w:pPr>
      <w:r w:rsidRPr="000C0C45">
        <w:rPr>
          <w:sz w:val="16"/>
          <w:szCs w:val="16"/>
        </w:rPr>
        <w:t>Commissioned Corps and Foreign Nationals overseas are not included</w:t>
      </w:r>
      <w:r>
        <w:rPr>
          <w:sz w:val="16"/>
          <w:szCs w:val="16"/>
        </w:rPr>
        <w:br/>
      </w:r>
      <w:r w:rsidRPr="000C0C45">
        <w:rPr>
          <w:sz w:val="16"/>
          <w:szCs w:val="16"/>
        </w:rPr>
        <w:t>Permanent is Tenure 1 or 2 or pay plan ES or RS. Temporary is everyone who is not permanent.</w:t>
      </w:r>
      <w:r>
        <w:rPr>
          <w:sz w:val="16"/>
          <w:szCs w:val="16"/>
        </w:rPr>
        <w:br/>
      </w:r>
      <w:r w:rsidRPr="000C0C45">
        <w:rPr>
          <w:sz w:val="16"/>
          <w:szCs w:val="16"/>
        </w:rPr>
        <w:t>Source:  BIIS Table A1 as of September 30, 2014</w:t>
      </w:r>
    </w:p>
    <w:p w:rsidR="00D373A6" w:rsidRPr="00EE651E" w:rsidRDefault="00D373A6" w:rsidP="00D373A6">
      <w:pPr>
        <w:spacing w:after="0" w:line="240" w:lineRule="auto"/>
        <w:rPr>
          <w:rFonts w:ascii="Times New Roman" w:eastAsia="MS Mincho" w:hAnsi="Times New Roman" w:cs="Times New Roman"/>
          <w:sz w:val="24"/>
          <w:szCs w:val="24"/>
        </w:rPr>
      </w:pPr>
      <w:r>
        <w:rPr>
          <w:noProof/>
        </w:rPr>
        <w:drawing>
          <wp:inline distT="0" distB="0" distL="0" distR="0" wp14:anchorId="4FA7CD4D" wp14:editId="737BE294">
            <wp:extent cx="5738812" cy="2743200"/>
            <wp:effectExtent l="0" t="0" r="14605" b="19050"/>
            <wp:docPr id="47" name="Chart 47" descr="This bar chart shows the NIH permanent workforce by race/ethnicity and sex, which ranges from 0.2% to 35.2%. It also contains the benchmark figures for the CLF, which range from 0.5% to 38.3%." title="FY 2014 NIH Permanent Workforce Distribution by Race/Ethnicity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73A6" w:rsidRPr="000C0C45" w:rsidRDefault="00D373A6" w:rsidP="00D373A6">
      <w:pPr>
        <w:spacing w:after="0" w:line="240" w:lineRule="auto"/>
        <w:rPr>
          <w:rFonts w:ascii="Times New Roman" w:eastAsia="MS Mincho" w:hAnsi="Times New Roman" w:cs="Times New Roman"/>
          <w:sz w:val="16"/>
          <w:szCs w:val="16"/>
        </w:rPr>
      </w:pPr>
      <w:r w:rsidRPr="000C0C45">
        <w:rPr>
          <w:rFonts w:ascii="Times New Roman" w:eastAsia="MS Mincho" w:hAnsi="Times New Roman" w:cs="Times New Roman"/>
          <w:sz w:val="16"/>
          <w:szCs w:val="16"/>
        </w:rPr>
        <w:t>Commissioned Corps and Foreign Nationals overseas are not included</w:t>
      </w:r>
    </w:p>
    <w:p w:rsidR="00D373A6" w:rsidRPr="000C0C45" w:rsidRDefault="00D373A6" w:rsidP="00D373A6">
      <w:pPr>
        <w:spacing w:after="0" w:line="240" w:lineRule="auto"/>
        <w:rPr>
          <w:rFonts w:ascii="Times New Roman" w:eastAsia="MS Mincho" w:hAnsi="Times New Roman" w:cs="Times New Roman"/>
          <w:sz w:val="16"/>
          <w:szCs w:val="16"/>
        </w:rPr>
      </w:pPr>
      <w:r w:rsidRPr="000C0C45">
        <w:rPr>
          <w:rFonts w:ascii="Times New Roman" w:eastAsia="MS Mincho" w:hAnsi="Times New Roman" w:cs="Times New Roman"/>
          <w:sz w:val="16"/>
          <w:szCs w:val="16"/>
        </w:rPr>
        <w:t>Permanent is Tenure 1 or 2 or pay plan ES or RS.  Temporary is everyone who is not permanent.</w:t>
      </w:r>
    </w:p>
    <w:p w:rsidR="00D373A6" w:rsidRPr="000C0C45" w:rsidRDefault="00D373A6" w:rsidP="00D373A6">
      <w:pPr>
        <w:spacing w:after="0" w:line="240" w:lineRule="auto"/>
        <w:rPr>
          <w:rFonts w:ascii="Times New Roman" w:eastAsia="MS Mincho" w:hAnsi="Times New Roman" w:cs="Times New Roman"/>
          <w:sz w:val="16"/>
          <w:szCs w:val="16"/>
        </w:rPr>
      </w:pPr>
      <w:r w:rsidRPr="000C0C45">
        <w:rPr>
          <w:rFonts w:ascii="Times New Roman" w:eastAsia="MS Mincho" w:hAnsi="Times New Roman" w:cs="Times New Roman"/>
          <w:sz w:val="16"/>
          <w:szCs w:val="16"/>
        </w:rPr>
        <w:t>Source:  BIIS Table A1 as of September 30, 2014</w:t>
      </w:r>
    </w:p>
    <w:p w:rsidR="00D373A6" w:rsidRPr="00EE651E" w:rsidRDefault="00D373A6" w:rsidP="00D373A6">
      <w:pPr>
        <w:spacing w:after="0" w:line="240" w:lineRule="auto"/>
        <w:rPr>
          <w:rFonts w:ascii="Times New Roman" w:eastAsia="MS Mincho" w:hAnsi="Times New Roman" w:cs="Times New Roman"/>
          <w:sz w:val="24"/>
          <w:szCs w:val="24"/>
        </w:rPr>
      </w:pPr>
    </w:p>
    <w:p w:rsidR="00D373A6" w:rsidRPr="00EE651E" w:rsidRDefault="00D373A6" w:rsidP="00D373A6">
      <w:pPr>
        <w:spacing w:after="0" w:line="240" w:lineRule="auto"/>
        <w:rPr>
          <w:rFonts w:ascii="Times New Roman" w:eastAsia="MS Mincho" w:hAnsi="Times New Roman" w:cs="Times New Roman"/>
          <w:sz w:val="24"/>
          <w:szCs w:val="24"/>
        </w:rPr>
      </w:pPr>
      <w:r>
        <w:rPr>
          <w:noProof/>
        </w:rPr>
        <w:lastRenderedPageBreak/>
        <w:drawing>
          <wp:inline distT="0" distB="0" distL="0" distR="0" wp14:anchorId="72B03F46" wp14:editId="6E7855D7">
            <wp:extent cx="5826125" cy="2743200"/>
            <wp:effectExtent l="0" t="0" r="22225" b="19050"/>
            <wp:docPr id="48" name="Chart 48" descr="This bar chart shows the NIH temporary workforce by race/ethnicity and sex, compared to the benchmark figures (CLF). The tempoary workforce ranges from 0.1% to 35.5%." title="FY 2014 NIH Temporary Workforce Distribution by Race/Ethnicity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73A6" w:rsidRPr="00E76805" w:rsidRDefault="00D373A6" w:rsidP="00D373A6">
      <w:pPr>
        <w:spacing w:after="0" w:line="240" w:lineRule="auto"/>
        <w:rPr>
          <w:rFonts w:ascii="Times New Roman" w:eastAsia="MS Mincho" w:hAnsi="Times New Roman" w:cs="Times New Roman"/>
          <w:sz w:val="16"/>
          <w:szCs w:val="16"/>
        </w:rPr>
      </w:pPr>
      <w:r w:rsidRPr="00E76805">
        <w:rPr>
          <w:rFonts w:ascii="Times New Roman" w:eastAsia="MS Mincho" w:hAnsi="Times New Roman" w:cs="Times New Roman"/>
          <w:sz w:val="16"/>
          <w:szCs w:val="16"/>
        </w:rPr>
        <w:t>Commissioned Corps and Foreign Nationals overseas are not included</w:t>
      </w:r>
    </w:p>
    <w:p w:rsidR="00D373A6" w:rsidRPr="00E76805" w:rsidRDefault="00D373A6" w:rsidP="00D373A6">
      <w:pPr>
        <w:spacing w:after="0" w:line="240" w:lineRule="auto"/>
        <w:rPr>
          <w:rFonts w:ascii="Times New Roman" w:eastAsia="MS Mincho" w:hAnsi="Times New Roman" w:cs="Times New Roman"/>
          <w:sz w:val="16"/>
          <w:szCs w:val="16"/>
        </w:rPr>
      </w:pPr>
      <w:r w:rsidRPr="00E76805">
        <w:rPr>
          <w:rFonts w:ascii="Times New Roman" w:eastAsia="MS Mincho" w:hAnsi="Times New Roman" w:cs="Times New Roman"/>
          <w:sz w:val="16"/>
          <w:szCs w:val="16"/>
        </w:rPr>
        <w:t>Permanent is Tenure 1 or 2 or pay plan ES or RS.  Temporary is everyone who is not permanent.</w:t>
      </w:r>
    </w:p>
    <w:p w:rsidR="00D373A6" w:rsidRPr="00E76805" w:rsidRDefault="00D373A6" w:rsidP="00D373A6">
      <w:pPr>
        <w:spacing w:after="0" w:line="240" w:lineRule="auto"/>
        <w:rPr>
          <w:rFonts w:ascii="Times New Roman" w:eastAsia="MS Mincho" w:hAnsi="Times New Roman" w:cs="Times New Roman"/>
          <w:sz w:val="16"/>
          <w:szCs w:val="16"/>
        </w:rPr>
      </w:pPr>
      <w:r w:rsidRPr="00E76805">
        <w:rPr>
          <w:rFonts w:ascii="Times New Roman" w:eastAsia="MS Mincho" w:hAnsi="Times New Roman" w:cs="Times New Roman"/>
          <w:sz w:val="16"/>
          <w:szCs w:val="16"/>
        </w:rPr>
        <w:t>Source:  BIIS Table A1 as of September 30, 2014</w:t>
      </w:r>
    </w:p>
    <w:p w:rsidR="00D373A6" w:rsidRPr="00EE651E" w:rsidRDefault="00D373A6" w:rsidP="00D373A6">
      <w:pPr>
        <w:spacing w:after="0" w:line="240" w:lineRule="auto"/>
        <w:rPr>
          <w:rFonts w:ascii="Times New Roman" w:eastAsia="MS Mincho" w:hAnsi="Times New Roman" w:cs="Times New Roman"/>
          <w:sz w:val="24"/>
          <w:szCs w:val="24"/>
        </w:rPr>
      </w:pPr>
    </w:p>
    <w:p w:rsidR="00D373A6" w:rsidRDefault="00D373A6" w:rsidP="00D373A6">
      <w:pPr>
        <w:spacing w:after="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t>In FY 2014, the</w:t>
      </w:r>
      <w:r>
        <w:rPr>
          <w:rFonts w:ascii="Times New Roman" w:eastAsia="MS Mincho" w:hAnsi="Times New Roman" w:cs="Times New Roman"/>
          <w:sz w:val="24"/>
          <w:szCs w:val="24"/>
        </w:rPr>
        <w:t xml:space="preserve">re were </w:t>
      </w:r>
      <w:r w:rsidRPr="00EE651E">
        <w:rPr>
          <w:rFonts w:ascii="Times New Roman" w:eastAsia="MS Mincho" w:hAnsi="Times New Roman" w:cs="Times New Roman"/>
          <w:sz w:val="24"/>
          <w:szCs w:val="24"/>
        </w:rPr>
        <w:t xml:space="preserve">683 </w:t>
      </w:r>
      <w:r>
        <w:rPr>
          <w:rFonts w:ascii="Times New Roman" w:eastAsia="MS Mincho" w:hAnsi="Times New Roman" w:cs="Times New Roman"/>
          <w:sz w:val="24"/>
          <w:szCs w:val="24"/>
        </w:rPr>
        <w:t>(</w:t>
      </w:r>
      <w:r w:rsidRPr="00EE651E">
        <w:rPr>
          <w:rFonts w:ascii="Times New Roman" w:eastAsia="MS Mincho" w:hAnsi="Times New Roman" w:cs="Times New Roman"/>
          <w:sz w:val="24"/>
          <w:szCs w:val="24"/>
        </w:rPr>
        <w:t>51.9%</w:t>
      </w:r>
      <w:r>
        <w:rPr>
          <w:rFonts w:ascii="Times New Roman" w:eastAsia="MS Mincho" w:hAnsi="Times New Roman" w:cs="Times New Roman"/>
          <w:sz w:val="24"/>
          <w:szCs w:val="24"/>
        </w:rPr>
        <w:t>) p</w:t>
      </w:r>
      <w:r w:rsidRPr="00EE651E">
        <w:rPr>
          <w:rFonts w:ascii="Times New Roman" w:eastAsia="MS Mincho" w:hAnsi="Times New Roman" w:cs="Times New Roman"/>
          <w:sz w:val="24"/>
          <w:szCs w:val="24"/>
        </w:rPr>
        <w:t xml:space="preserve">ermanent </w:t>
      </w:r>
      <w:r>
        <w:rPr>
          <w:rFonts w:ascii="Times New Roman" w:eastAsia="MS Mincho" w:hAnsi="Times New Roman" w:cs="Times New Roman"/>
          <w:sz w:val="24"/>
          <w:szCs w:val="24"/>
        </w:rPr>
        <w:t xml:space="preserve">hires and </w:t>
      </w:r>
      <w:r w:rsidRPr="00EE651E">
        <w:rPr>
          <w:rFonts w:ascii="Times New Roman" w:eastAsia="MS Mincho" w:hAnsi="Times New Roman" w:cs="Times New Roman"/>
          <w:sz w:val="24"/>
          <w:szCs w:val="24"/>
        </w:rPr>
        <w:t>635</w:t>
      </w:r>
      <w:r>
        <w:rPr>
          <w:rFonts w:ascii="Times New Roman" w:eastAsia="MS Mincho" w:hAnsi="Times New Roman" w:cs="Times New Roman"/>
          <w:sz w:val="24"/>
          <w:szCs w:val="24"/>
        </w:rPr>
        <w:t xml:space="preserve"> (</w:t>
      </w:r>
      <w:r w:rsidRPr="00EE651E">
        <w:rPr>
          <w:rFonts w:ascii="Times New Roman" w:eastAsia="MS Mincho" w:hAnsi="Times New Roman" w:cs="Times New Roman"/>
          <w:sz w:val="24"/>
          <w:szCs w:val="24"/>
        </w:rPr>
        <w:t>48.2%</w:t>
      </w:r>
      <w:r>
        <w:rPr>
          <w:rFonts w:ascii="Times New Roman" w:eastAsia="MS Mincho" w:hAnsi="Times New Roman" w:cs="Times New Roman"/>
          <w:sz w:val="24"/>
          <w:szCs w:val="24"/>
        </w:rPr>
        <w:t xml:space="preserve">) temporary hires.  There were </w:t>
      </w:r>
      <w:r w:rsidRPr="00EE651E">
        <w:rPr>
          <w:rFonts w:ascii="Times New Roman" w:eastAsia="MS Mincho" w:hAnsi="Times New Roman" w:cs="Times New Roman"/>
          <w:sz w:val="24"/>
          <w:szCs w:val="24"/>
        </w:rPr>
        <w:t>827</w:t>
      </w:r>
      <w:r w:rsidR="00F44714">
        <w:rPr>
          <w:rFonts w:ascii="Times New Roman" w:eastAsia="MS Mincho" w:hAnsi="Times New Roman" w:cs="Times New Roman"/>
          <w:sz w:val="24"/>
          <w:szCs w:val="24"/>
        </w:rPr>
        <w:t xml:space="preserve"> p</w:t>
      </w:r>
      <w:r>
        <w:rPr>
          <w:rFonts w:ascii="Times New Roman" w:eastAsia="MS Mincho" w:hAnsi="Times New Roman" w:cs="Times New Roman"/>
          <w:sz w:val="24"/>
          <w:szCs w:val="24"/>
        </w:rPr>
        <w:t xml:space="preserve">ermanent separations and </w:t>
      </w:r>
      <w:r w:rsidRPr="00EE651E">
        <w:rPr>
          <w:rFonts w:ascii="Times New Roman" w:eastAsia="MS Mincho" w:hAnsi="Times New Roman" w:cs="Times New Roman"/>
          <w:sz w:val="24"/>
          <w:szCs w:val="24"/>
        </w:rPr>
        <w:t>653</w:t>
      </w:r>
      <w:r>
        <w:rPr>
          <w:rFonts w:ascii="Times New Roman" w:eastAsia="MS Mincho" w:hAnsi="Times New Roman" w:cs="Times New Roman"/>
          <w:sz w:val="24"/>
          <w:szCs w:val="24"/>
        </w:rPr>
        <w:t xml:space="preserve"> temporary separations (including voluntary</w:t>
      </w:r>
    </w:p>
    <w:p w:rsidR="00D373A6" w:rsidRPr="00EE651E" w:rsidRDefault="00D373A6" w:rsidP="00D373A6">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and involuntary sep</w:t>
      </w:r>
      <w:r w:rsidRPr="00EE651E">
        <w:rPr>
          <w:rFonts w:ascii="Times New Roman" w:eastAsia="MS Mincho" w:hAnsi="Times New Roman" w:cs="Times New Roman"/>
          <w:sz w:val="24"/>
          <w:szCs w:val="24"/>
        </w:rPr>
        <w:t>arations</w:t>
      </w:r>
      <w:r>
        <w:rPr>
          <w:rFonts w:ascii="Times New Roman" w:eastAsia="MS Mincho" w:hAnsi="Times New Roman" w:cs="Times New Roman"/>
          <w:sz w:val="24"/>
          <w:szCs w:val="24"/>
        </w:rPr>
        <w:t>).</w:t>
      </w:r>
    </w:p>
    <w:p w:rsidR="00D373A6" w:rsidRPr="00EE651E" w:rsidRDefault="00D373A6" w:rsidP="00D373A6">
      <w:pPr>
        <w:spacing w:after="0" w:line="240" w:lineRule="auto"/>
        <w:rPr>
          <w:rFonts w:ascii="Times New Roman" w:eastAsia="MS Mincho" w:hAnsi="Times New Roman" w:cs="Times New Roman"/>
          <w:sz w:val="24"/>
          <w:szCs w:val="24"/>
        </w:rPr>
      </w:pPr>
    </w:p>
    <w:p w:rsidR="00D373A6" w:rsidRPr="00EE651E" w:rsidRDefault="00D373A6" w:rsidP="00D373A6">
      <w:pPr>
        <w:spacing w:after="0" w:line="240" w:lineRule="auto"/>
        <w:rPr>
          <w:rFonts w:ascii="Times New Roman" w:eastAsia="MS Mincho" w:hAnsi="Times New Roman" w:cs="Times New Roman"/>
          <w:sz w:val="24"/>
          <w:szCs w:val="24"/>
        </w:rPr>
      </w:pPr>
    </w:p>
    <w:p w:rsidR="00D373A6" w:rsidRPr="008A57F9" w:rsidRDefault="00D373A6" w:rsidP="00D373A6">
      <w:pPr>
        <w:pStyle w:val="Heading2"/>
        <w:rPr>
          <w:sz w:val="24"/>
          <w:szCs w:val="24"/>
        </w:rPr>
      </w:pPr>
      <w:r w:rsidRPr="00EE651E">
        <w:rPr>
          <w:sz w:val="24"/>
          <w:szCs w:val="24"/>
        </w:rPr>
        <w:t xml:space="preserve"> </w:t>
      </w:r>
      <w:r w:rsidRPr="00EE651E">
        <w:rPr>
          <w:sz w:val="24"/>
          <w:szCs w:val="24"/>
        </w:rPr>
        <w:br w:type="page"/>
      </w:r>
    </w:p>
    <w:p w:rsidR="00D373A6" w:rsidRPr="00D34E4A" w:rsidRDefault="00D373A6" w:rsidP="00D34E4A">
      <w:pPr>
        <w:pStyle w:val="Heading2"/>
        <w:rPr>
          <w:sz w:val="24"/>
          <w:szCs w:val="24"/>
        </w:rPr>
      </w:pPr>
      <w:bookmarkStart w:id="18" w:name="_Toc283564182"/>
      <w:bookmarkStart w:id="19" w:name="_Toc411523420"/>
      <w:r w:rsidRPr="00EE651E">
        <w:rPr>
          <w:sz w:val="24"/>
          <w:szCs w:val="24"/>
        </w:rPr>
        <w:lastRenderedPageBreak/>
        <w:t>Race, Ethnicity, and Sex: Composition by Permanent or Temporary Status</w:t>
      </w:r>
      <w:bookmarkEnd w:id="18"/>
      <w:bookmarkEnd w:id="19"/>
    </w:p>
    <w:p w:rsidR="00D373A6" w:rsidRPr="00EE651E" w:rsidRDefault="00D373A6" w:rsidP="00D373A6">
      <w:pPr>
        <w:keepNext/>
        <w:keepLines/>
        <w:spacing w:after="0" w:line="240" w:lineRule="auto"/>
        <w:outlineLvl w:val="1"/>
        <w:rPr>
          <w:rFonts w:ascii="Times New Roman" w:eastAsia="MS Mincho" w:hAnsi="Times New Roman" w:cs="Times New Roman"/>
          <w:sz w:val="24"/>
          <w:szCs w:val="24"/>
        </w:rPr>
      </w:pPr>
      <w:bookmarkStart w:id="20" w:name="_Toc411523421"/>
      <w:bookmarkEnd w:id="17"/>
      <w:r w:rsidRPr="00EE651E">
        <w:rPr>
          <w:rFonts w:ascii="Times New Roman" w:eastAsia="MS Mincho" w:hAnsi="Times New Roman" w:cs="Times New Roman"/>
          <w:sz w:val="24"/>
          <w:szCs w:val="24"/>
        </w:rPr>
        <w:t>The number of women in the total permanent workforce is 63.2% (8,647), as compared to the CLF index of 48.1%.  Subsequently</w:t>
      </w:r>
      <w:r>
        <w:rPr>
          <w:rFonts w:ascii="Times New Roman" w:eastAsia="MS Mincho" w:hAnsi="Times New Roman" w:cs="Times New Roman"/>
          <w:sz w:val="24"/>
          <w:szCs w:val="24"/>
        </w:rPr>
        <w:t>,</w:t>
      </w:r>
      <w:r w:rsidRPr="00EE651E">
        <w:rPr>
          <w:rFonts w:ascii="Times New Roman" w:eastAsia="MS Mincho" w:hAnsi="Times New Roman" w:cs="Times New Roman"/>
          <w:sz w:val="24"/>
          <w:szCs w:val="24"/>
        </w:rPr>
        <w:t xml:space="preserve"> men</w:t>
      </w:r>
      <w:r>
        <w:rPr>
          <w:rFonts w:ascii="Times New Roman" w:eastAsia="MS Mincho" w:hAnsi="Times New Roman" w:cs="Times New Roman"/>
          <w:sz w:val="24"/>
          <w:szCs w:val="24"/>
        </w:rPr>
        <w:t xml:space="preserve"> are represented</w:t>
      </w:r>
      <w:r w:rsidRPr="00EE651E">
        <w:rPr>
          <w:rFonts w:ascii="Times New Roman" w:eastAsia="MS Mincho" w:hAnsi="Times New Roman" w:cs="Times New Roman"/>
          <w:sz w:val="24"/>
          <w:szCs w:val="24"/>
        </w:rPr>
        <w:t xml:space="preserve"> in </w:t>
      </w:r>
      <w:r>
        <w:rPr>
          <w:rFonts w:ascii="Times New Roman" w:eastAsia="MS Mincho" w:hAnsi="Times New Roman" w:cs="Times New Roman"/>
          <w:sz w:val="24"/>
          <w:szCs w:val="24"/>
        </w:rPr>
        <w:t>the total permanent workforce at 36.8% (5,034) and are</w:t>
      </w:r>
      <w:r w:rsidRPr="00EE651E">
        <w:rPr>
          <w:rFonts w:ascii="Times New Roman" w:eastAsia="MS Mincho" w:hAnsi="Times New Roman" w:cs="Times New Roman"/>
          <w:sz w:val="24"/>
          <w:szCs w:val="24"/>
        </w:rPr>
        <w:t xml:space="preserve"> below the CLF index in the permanent workforce at 51.9%; however, </w:t>
      </w:r>
      <w:r>
        <w:rPr>
          <w:rFonts w:ascii="Times New Roman" w:eastAsia="MS Mincho" w:hAnsi="Times New Roman" w:cs="Times New Roman"/>
          <w:sz w:val="24"/>
          <w:szCs w:val="24"/>
        </w:rPr>
        <w:t xml:space="preserve">men </w:t>
      </w:r>
      <w:r w:rsidRPr="00EE651E">
        <w:rPr>
          <w:rFonts w:ascii="Times New Roman" w:eastAsia="MS Mincho" w:hAnsi="Times New Roman" w:cs="Times New Roman"/>
          <w:sz w:val="24"/>
          <w:szCs w:val="24"/>
        </w:rPr>
        <w:t>57.2% (2,508) outnumber</w:t>
      </w:r>
      <w:r>
        <w:rPr>
          <w:rFonts w:ascii="Times New Roman" w:eastAsia="MS Mincho" w:hAnsi="Times New Roman" w:cs="Times New Roman"/>
          <w:sz w:val="24"/>
          <w:szCs w:val="24"/>
        </w:rPr>
        <w:t xml:space="preserve"> women </w:t>
      </w:r>
      <w:r w:rsidRPr="00EE651E">
        <w:rPr>
          <w:rFonts w:ascii="Times New Roman" w:eastAsia="MS Mincho" w:hAnsi="Times New Roman" w:cs="Times New Roman"/>
          <w:sz w:val="24"/>
          <w:szCs w:val="24"/>
        </w:rPr>
        <w:t>42.8% (1,880) in the temporary workforce</w:t>
      </w:r>
      <w:r>
        <w:rPr>
          <w:rFonts w:ascii="Times New Roman" w:eastAsia="MS Mincho" w:hAnsi="Times New Roman" w:cs="Times New Roman"/>
          <w:sz w:val="24"/>
          <w:szCs w:val="24"/>
        </w:rPr>
        <w:t>.</w:t>
      </w:r>
      <w:bookmarkEnd w:id="20"/>
      <w:r>
        <w:rPr>
          <w:rFonts w:ascii="Times New Roman" w:eastAsia="MS Mincho" w:hAnsi="Times New Roman" w:cs="Times New Roman"/>
          <w:sz w:val="24"/>
          <w:szCs w:val="24"/>
        </w:rPr>
        <w:br/>
      </w:r>
    </w:p>
    <w:p w:rsidR="00D373A6" w:rsidRPr="00EE651E" w:rsidRDefault="00D373A6" w:rsidP="00D373A6">
      <w:pPr>
        <w:widowControl w:val="0"/>
        <w:autoSpaceDE w:val="0"/>
        <w:autoSpaceDN w:val="0"/>
        <w:adjustRightInd w:val="0"/>
        <w:spacing w:after="240" w:line="240" w:lineRule="auto"/>
        <w:rPr>
          <w:rFonts w:ascii="Times New Roman" w:hAnsi="Times New Roman" w:cs="Times New Roman"/>
          <w:sz w:val="24"/>
          <w:szCs w:val="24"/>
        </w:rPr>
      </w:pPr>
      <w:r w:rsidRPr="00EE651E">
        <w:rPr>
          <w:rFonts w:ascii="Times New Roman" w:eastAsia="MS Mincho" w:hAnsi="Times New Roman" w:cs="Times New Roman"/>
          <w:noProof/>
          <w:sz w:val="24"/>
          <w:szCs w:val="24"/>
        </w:rPr>
        <w:drawing>
          <wp:inline distT="0" distB="0" distL="0" distR="0" wp14:anchorId="4303A59F" wp14:editId="7DF59B3A">
            <wp:extent cx="5820410" cy="2711513"/>
            <wp:effectExtent l="0" t="0" r="27940" b="12700"/>
            <wp:docPr id="49" name="Chart 49" descr="This bar chart shows the NIH permanent workforce for males is at 36.8% as compared to the CLF of 51.9%, and females are at 63.2% as compared to the CLF of 48.1%." title="FY 2014 NIH Permanent Workforce by Sex compared to 2010 CLF"/>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C0C45">
        <w:rPr>
          <w:rFonts w:ascii="Times New Roman" w:hAnsi="Times New Roman" w:cs="Times New Roman"/>
          <w:sz w:val="16"/>
          <w:szCs w:val="16"/>
        </w:rPr>
        <w:t>Commissioned Corps and Foreign Nationals overseas are not included</w:t>
      </w:r>
      <w:r w:rsidRPr="000C0C45">
        <w:rPr>
          <w:rFonts w:ascii="Times New Roman" w:hAnsi="Times New Roman" w:cs="Times New Roman"/>
          <w:sz w:val="16"/>
          <w:szCs w:val="16"/>
        </w:rPr>
        <w:br/>
        <w:t>Permanent is Tenure 1 or 2 or pay plan ES or RS. Temporary is everyone who is not permanent.</w:t>
      </w:r>
      <w:r w:rsidRPr="000C0C45">
        <w:rPr>
          <w:rFonts w:ascii="Times New Roman" w:hAnsi="Times New Roman" w:cs="Times New Roman"/>
          <w:sz w:val="16"/>
          <w:szCs w:val="16"/>
        </w:rPr>
        <w:br/>
        <w:t>Source:  BIIS Table A1 as of September 30, 2014</w:t>
      </w:r>
    </w:p>
    <w:p w:rsidR="00D373A6" w:rsidRPr="000C0C45" w:rsidRDefault="00D373A6" w:rsidP="00D373A6">
      <w:pPr>
        <w:widowControl w:val="0"/>
        <w:autoSpaceDE w:val="0"/>
        <w:autoSpaceDN w:val="0"/>
        <w:adjustRightInd w:val="0"/>
        <w:spacing w:after="240" w:line="240" w:lineRule="auto"/>
        <w:rPr>
          <w:rFonts w:ascii="Times New Roman" w:hAnsi="Times New Roman" w:cs="Times New Roman"/>
          <w:sz w:val="16"/>
          <w:szCs w:val="16"/>
        </w:rPr>
      </w:pPr>
      <w:r w:rsidRPr="00EE651E">
        <w:rPr>
          <w:noProof/>
          <w:sz w:val="24"/>
          <w:szCs w:val="24"/>
        </w:rPr>
        <w:drawing>
          <wp:inline distT="0" distB="0" distL="0" distR="0" wp14:anchorId="5250F170" wp14:editId="064B28C9">
            <wp:extent cx="5816600" cy="2980267"/>
            <wp:effectExtent l="0" t="0" r="12700" b="10795"/>
            <wp:docPr id="50" name="Chart 50" descr="This bar chart shows the NIH temporary workforce for males is 57.2% as compared to the CLF of 51.9%, and 42.8% as compared to the CLF of 48.1%." title="FY 2014 NIH Temporary workforce by sex compared to the 2010 CLF"/>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C0C45">
        <w:rPr>
          <w:rFonts w:ascii="Times New Roman" w:hAnsi="Times New Roman" w:cs="Times New Roman"/>
          <w:sz w:val="16"/>
          <w:szCs w:val="16"/>
        </w:rPr>
        <w:t>Commissioned Corps and Foreign Nationals overseas are not included</w:t>
      </w:r>
      <w:r>
        <w:rPr>
          <w:rFonts w:ascii="Times New Roman" w:hAnsi="Times New Roman" w:cs="Times New Roman"/>
          <w:sz w:val="16"/>
          <w:szCs w:val="16"/>
        </w:rPr>
        <w:br/>
      </w:r>
      <w:r w:rsidRPr="000C0C45">
        <w:rPr>
          <w:rFonts w:ascii="Times New Roman" w:hAnsi="Times New Roman" w:cs="Times New Roman"/>
          <w:sz w:val="16"/>
          <w:szCs w:val="16"/>
        </w:rPr>
        <w:t>Permanent is Tenure 1 or 2 or pay plan ES or RS. Temporary is everyone who is not permanent.</w:t>
      </w:r>
      <w:r>
        <w:rPr>
          <w:rFonts w:ascii="Times New Roman" w:hAnsi="Times New Roman" w:cs="Times New Roman"/>
          <w:sz w:val="16"/>
          <w:szCs w:val="16"/>
        </w:rPr>
        <w:br/>
      </w:r>
      <w:r w:rsidRPr="000C0C45">
        <w:rPr>
          <w:rFonts w:ascii="Times New Roman" w:hAnsi="Times New Roman" w:cs="Times New Roman"/>
          <w:sz w:val="16"/>
          <w:szCs w:val="16"/>
        </w:rPr>
        <w:t>Source:  BIIS Table A1 as of September 30, 2014</w:t>
      </w:r>
    </w:p>
    <w:p w:rsidR="00D373A6" w:rsidRPr="00EE651E" w:rsidRDefault="00D373A6" w:rsidP="00D373A6">
      <w:pPr>
        <w:pStyle w:val="NoSpacing"/>
        <w:rPr>
          <w:rFonts w:ascii="Times New Roman" w:hAnsi="Times New Roman" w:cs="Times New Roman"/>
          <w:sz w:val="24"/>
          <w:szCs w:val="24"/>
        </w:rPr>
      </w:pPr>
    </w:p>
    <w:p w:rsidR="00D373A6" w:rsidRPr="00EE651E" w:rsidRDefault="00D373A6" w:rsidP="00D373A6">
      <w:pPr>
        <w:pStyle w:val="Heading2"/>
        <w:rPr>
          <w:sz w:val="24"/>
          <w:szCs w:val="24"/>
        </w:rPr>
      </w:pPr>
      <w:bookmarkStart w:id="21" w:name="_Toc283564183"/>
      <w:bookmarkStart w:id="22" w:name="_Toc411523422"/>
      <w:r w:rsidRPr="00502350">
        <w:rPr>
          <w:sz w:val="24"/>
          <w:szCs w:val="24"/>
        </w:rPr>
        <w:lastRenderedPageBreak/>
        <w:t>People</w:t>
      </w:r>
      <w:r w:rsidRPr="00EE651E">
        <w:rPr>
          <w:sz w:val="24"/>
          <w:szCs w:val="24"/>
        </w:rPr>
        <w:t xml:space="preserve"> with Disabilities: Composition by Permanent or Temporary Status</w:t>
      </w:r>
      <w:bookmarkEnd w:id="21"/>
      <w:bookmarkEnd w:id="22"/>
    </w:p>
    <w:p w:rsidR="00D373A6" w:rsidRPr="00EE651E" w:rsidRDefault="00D373A6" w:rsidP="00D373A6">
      <w:pPr>
        <w:pStyle w:val="NormalWeb"/>
        <w:shd w:val="clear" w:color="auto" w:fill="FFFFFF"/>
        <w:spacing w:before="75" w:after="0"/>
        <w:contextualSpacing/>
        <w:rPr>
          <w:rFonts w:eastAsia="MS PGothic"/>
        </w:rPr>
      </w:pPr>
      <w:r w:rsidRPr="00EE651E">
        <w:t xml:space="preserve">NIH has lower than expected participation rates of individuals with disabilities.  NIH benchmarks the federal high rate of employment </w:t>
      </w:r>
      <w:r w:rsidRPr="00EE651E">
        <w:rPr>
          <w:rFonts w:eastAsia="MS PGothic"/>
        </w:rPr>
        <w:t>for people with disabilities</w:t>
      </w:r>
      <w:r w:rsidRPr="00EE651E">
        <w:t xml:space="preserve"> through a comparison of government-wide participation rates.  </w:t>
      </w:r>
      <w:r w:rsidRPr="00EE651E">
        <w:rPr>
          <w:rFonts w:eastAsia="MS PGothic"/>
        </w:rPr>
        <w:t xml:space="preserve">According to the Office of Personnel Management (OPM), total federal employment for people with disabilities was 12.8% at the end of FY 2013.  The NIH participation rate of people with disabilities falls short of this benchmark, </w:t>
      </w:r>
      <w:r>
        <w:rPr>
          <w:rFonts w:eastAsia="MS PGothic"/>
        </w:rPr>
        <w:t>at 7.1% (1,273</w:t>
      </w:r>
      <w:r w:rsidRPr="00EE651E">
        <w:rPr>
          <w:rFonts w:eastAsia="MS PGothic"/>
        </w:rPr>
        <w:t xml:space="preserve">) in FY 2014.  Additionally, across the federal workforce, 18.2% of new hires in FY 2013 were people with disabilities; as compared to new hires at NIH, </w:t>
      </w:r>
      <w:r>
        <w:rPr>
          <w:rFonts w:eastAsia="MS PGothic"/>
        </w:rPr>
        <w:t>5.39% (71</w:t>
      </w:r>
      <w:r w:rsidRPr="00EE651E">
        <w:rPr>
          <w:rFonts w:eastAsia="MS PGothic"/>
        </w:rPr>
        <w:t>) of new hires in FY 2014 were people with disabilities.</w:t>
      </w:r>
    </w:p>
    <w:p w:rsidR="00D373A6" w:rsidRPr="00EE651E" w:rsidRDefault="00D373A6" w:rsidP="00D373A6">
      <w:pPr>
        <w:pStyle w:val="NormalWeb"/>
        <w:shd w:val="clear" w:color="auto" w:fill="FFFFFF"/>
        <w:spacing w:before="75" w:after="0"/>
        <w:contextualSpacing/>
        <w:rPr>
          <w:rFonts w:eastAsia="MS PGothic"/>
        </w:rPr>
      </w:pPr>
    </w:p>
    <w:p w:rsidR="00D373A6" w:rsidRPr="00EE651E" w:rsidRDefault="00D373A6" w:rsidP="00D373A6">
      <w:pPr>
        <w:pStyle w:val="NormalWeb"/>
        <w:shd w:val="clear" w:color="auto" w:fill="FFFFFF"/>
        <w:spacing w:before="75" w:after="0"/>
        <w:contextualSpacing/>
        <w:rPr>
          <w:rFonts w:eastAsia="MS PGothic"/>
        </w:rPr>
      </w:pPr>
      <w:r w:rsidRPr="00EE651E">
        <w:rPr>
          <w:rFonts w:eastAsia="MS Mincho"/>
        </w:rPr>
        <w:t xml:space="preserve">NIH has lower than expected participation rates of individuals with targeted disabilities.  When assessing the benchmark for individuals with targeted disabilities, NIH benchmarks the EEOC’s “Federal Goal” of 2.0% for individuals with targeted disabilities.  </w:t>
      </w:r>
      <w:r w:rsidRPr="00EE651E">
        <w:t xml:space="preserve">Additionally, NIH further benchmarks the HHS goal of 2.5% of the total workforce represented by people with targeted disabilities by </w:t>
      </w:r>
      <w:r w:rsidR="00695E65">
        <w:t xml:space="preserve">FY </w:t>
      </w:r>
      <w:r w:rsidRPr="00EE651E">
        <w:t>2015.  The NIH participation rate of people with disabilities falls short of both benchmarks; out of the total NIH workforce, 1.2% (220) employees have a targeted disability.</w:t>
      </w:r>
    </w:p>
    <w:p w:rsidR="00D373A6" w:rsidRPr="00EE651E"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t>Of the total workforce (18,069); 89.9% (16,237) have no disabilities, 3.1% (559) did not identify, and 7.</w:t>
      </w:r>
      <w:r>
        <w:rPr>
          <w:rFonts w:ascii="Times New Roman" w:eastAsia="MS Mincho" w:hAnsi="Times New Roman" w:cs="Times New Roman"/>
          <w:sz w:val="24"/>
          <w:szCs w:val="24"/>
        </w:rPr>
        <w:t>1</w:t>
      </w:r>
      <w:r w:rsidRPr="00EE651E">
        <w:rPr>
          <w:rFonts w:ascii="Times New Roman" w:eastAsia="MS Mincho" w:hAnsi="Times New Roman" w:cs="Times New Roman"/>
          <w:sz w:val="24"/>
          <w:szCs w:val="24"/>
        </w:rPr>
        <w:t>% (1,273) have a reportable disability. Of the 1,273 who have a disability, 220 have a targeted disability (1.2%</w:t>
      </w:r>
      <w:r>
        <w:rPr>
          <w:rFonts w:ascii="Times New Roman" w:eastAsia="MS Mincho" w:hAnsi="Times New Roman" w:cs="Times New Roman"/>
          <w:sz w:val="24"/>
          <w:szCs w:val="24"/>
        </w:rPr>
        <w:t xml:space="preserve"> of the total NIH workforce</w:t>
      </w:r>
      <w:r w:rsidRPr="00EE651E">
        <w:rPr>
          <w:rFonts w:ascii="Times New Roman" w:eastAsia="MS Mincho" w:hAnsi="Times New Roman" w:cs="Times New Roman"/>
          <w:sz w:val="24"/>
          <w:szCs w:val="24"/>
        </w:rPr>
        <w:t>).</w:t>
      </w:r>
    </w:p>
    <w:p w:rsidR="00D373A6" w:rsidRPr="000C0C45"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noProof/>
          <w:sz w:val="24"/>
          <w:szCs w:val="24"/>
        </w:rPr>
        <w:drawing>
          <wp:inline distT="0" distB="0" distL="0" distR="0" wp14:anchorId="0C686B5C" wp14:editId="1CEB4EB6">
            <wp:extent cx="5981700" cy="3543300"/>
            <wp:effectExtent l="0" t="0" r="19050" b="19050"/>
            <wp:docPr id="51" name="Chart 51" descr="This bar chart shows the NIH workforce by disability status, which ranges from 89.9% for those with no disabilities, 7.1% for all disabilities, and 3.1% chose not to identify. Those with targeted disabilities are at 1.2%, compared to the federal goal for people with targeted disabilities 2.0%." title="NIH Total Workforce by Disability Status as of 4th Q FY 201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C0C45">
        <w:rPr>
          <w:rFonts w:ascii="Times New Roman" w:hAnsi="Times New Roman" w:cs="Times New Roman"/>
          <w:sz w:val="16"/>
          <w:szCs w:val="16"/>
        </w:rPr>
        <w:t>Commissioned Corps and Foreign Nationals overseas are not included</w:t>
      </w:r>
      <w:r w:rsidRPr="000C0C45">
        <w:rPr>
          <w:rFonts w:ascii="Times New Roman" w:hAnsi="Times New Roman" w:cs="Times New Roman"/>
          <w:sz w:val="16"/>
          <w:szCs w:val="16"/>
        </w:rPr>
        <w:br/>
        <w:t>Permanent is Tenure 1 or 2 or pay plan ES or RS. Temporary is everyone who is not permanent.</w:t>
      </w:r>
      <w:r w:rsidRPr="000C0C45">
        <w:rPr>
          <w:rFonts w:ascii="Times New Roman" w:hAnsi="Times New Roman" w:cs="Times New Roman"/>
          <w:sz w:val="16"/>
          <w:szCs w:val="16"/>
        </w:rPr>
        <w:br/>
        <w:t>Source:  BIIS Table B1 as of September 30, 2014</w:t>
      </w:r>
    </w:p>
    <w:p w:rsidR="00D373A6" w:rsidRPr="00EE651E" w:rsidRDefault="00D373A6" w:rsidP="00D373A6">
      <w:pPr>
        <w:tabs>
          <w:tab w:val="left" w:pos="5520"/>
        </w:tabs>
        <w:spacing w:line="240" w:lineRule="auto"/>
        <w:rPr>
          <w:rFonts w:ascii="Times New Roman" w:hAnsi="Times New Roman" w:cs="Times New Roman"/>
          <w:sz w:val="24"/>
          <w:szCs w:val="24"/>
        </w:rPr>
      </w:pPr>
      <w:r w:rsidRPr="00EE651E">
        <w:rPr>
          <w:rFonts w:ascii="Times New Roman" w:hAnsi="Times New Roman" w:cs="Times New Roman"/>
          <w:sz w:val="24"/>
          <w:szCs w:val="24"/>
        </w:rPr>
        <w:tab/>
      </w:r>
    </w:p>
    <w:p w:rsidR="00D373A6" w:rsidRPr="00EE651E" w:rsidRDefault="00D373A6" w:rsidP="00D373A6">
      <w:pPr>
        <w:spacing w:line="240" w:lineRule="auto"/>
        <w:rPr>
          <w:rFonts w:ascii="Times New Roman" w:eastAsia="MS Mincho" w:hAnsi="Times New Roman" w:cs="Times New Roman"/>
          <w:sz w:val="24"/>
          <w:szCs w:val="24"/>
        </w:rPr>
      </w:pPr>
      <w:r w:rsidRPr="00EE651E">
        <w:rPr>
          <w:noProof/>
          <w:sz w:val="24"/>
          <w:szCs w:val="24"/>
        </w:rPr>
        <w:lastRenderedPageBreak/>
        <w:drawing>
          <wp:inline distT="0" distB="0" distL="0" distR="0" wp14:anchorId="0A376EFE" wp14:editId="0BA9B5B5">
            <wp:extent cx="5977467" cy="2895600"/>
            <wp:effectExtent l="0" t="0" r="23495" b="19050"/>
            <wp:docPr id="52" name="Chart 52" descr="This bar chart shows the NIH workforce by disability status in FY 2013 and FY 2014. The employees with disabilities decreased from FY 2013 to FY 2014, from 7.2% to 7.0%. The employees with targeted disabilities remained the same, at 1.2%. This is below the Federal goal for people with targeted disabilities, at 2.0%." title="NIH Total Workforce by Disability Status as of 4th Q FY 201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C0C45">
        <w:rPr>
          <w:rFonts w:ascii="Times New Roman" w:hAnsi="Times New Roman" w:cs="Times New Roman"/>
          <w:sz w:val="16"/>
          <w:szCs w:val="16"/>
        </w:rPr>
        <w:t>Commissioned Corps and Foreign Nationals overseas are not included</w:t>
      </w:r>
      <w:r w:rsidRPr="000C0C45">
        <w:rPr>
          <w:rFonts w:ascii="Times New Roman" w:hAnsi="Times New Roman" w:cs="Times New Roman"/>
          <w:sz w:val="16"/>
          <w:szCs w:val="16"/>
        </w:rPr>
        <w:br/>
        <w:t>Permanent is Tenure 1 or 2 or pay plan ES or RS. Temporary is everyone who is not permanent.</w:t>
      </w:r>
      <w:r w:rsidRPr="000C0C45">
        <w:rPr>
          <w:rFonts w:ascii="Times New Roman" w:hAnsi="Times New Roman" w:cs="Times New Roman"/>
          <w:sz w:val="16"/>
          <w:szCs w:val="16"/>
        </w:rPr>
        <w:br/>
        <w:t xml:space="preserve">Source: BIIS Table B1 as of </w:t>
      </w:r>
      <w:r>
        <w:rPr>
          <w:rFonts w:ascii="Times New Roman" w:hAnsi="Times New Roman" w:cs="Times New Roman"/>
          <w:sz w:val="16"/>
          <w:szCs w:val="16"/>
        </w:rPr>
        <w:t xml:space="preserve">September 30, 2013 and </w:t>
      </w:r>
      <w:r w:rsidRPr="000C0C45">
        <w:rPr>
          <w:rFonts w:ascii="Times New Roman" w:hAnsi="Times New Roman" w:cs="Times New Roman"/>
          <w:sz w:val="16"/>
          <w:szCs w:val="16"/>
        </w:rPr>
        <w:t>September 30, 2014.</w:t>
      </w:r>
      <w:r w:rsidRPr="000C0C45">
        <w:rPr>
          <w:rFonts w:ascii="Times New Roman" w:hAnsi="Times New Roman" w:cs="Times New Roman"/>
          <w:sz w:val="16"/>
          <w:szCs w:val="16"/>
        </w:rPr>
        <w:br/>
        <w:t>New Hires are NOA codes 100 thru 199, including new to HHS, and excluding those new to unit via Promotions or Conversions.</w:t>
      </w:r>
    </w:p>
    <w:p w:rsidR="00D373A6" w:rsidRPr="00EE651E" w:rsidRDefault="00D373A6" w:rsidP="00D373A6">
      <w:pPr>
        <w:spacing w:line="240" w:lineRule="auto"/>
        <w:rPr>
          <w:rFonts w:ascii="Times New Roman" w:eastAsia="Times New Roman" w:hAnsi="Times New Roman" w:cs="Times New Roman"/>
          <w:sz w:val="24"/>
          <w:szCs w:val="24"/>
        </w:rPr>
      </w:pPr>
      <w:r w:rsidRPr="00EE651E">
        <w:rPr>
          <w:rFonts w:ascii="Times New Roman" w:hAnsi="Times New Roman" w:cs="Times New Roman"/>
          <w:sz w:val="24"/>
          <w:szCs w:val="24"/>
        </w:rPr>
        <w:t xml:space="preserve">People with Targeted Disabilities represented 1.5% of the </w:t>
      </w:r>
      <w:r>
        <w:rPr>
          <w:rFonts w:ascii="Times New Roman" w:hAnsi="Times New Roman" w:cs="Times New Roman"/>
          <w:sz w:val="24"/>
          <w:szCs w:val="24"/>
        </w:rPr>
        <w:t xml:space="preserve">FY </w:t>
      </w:r>
      <w:r w:rsidR="00C7654D">
        <w:rPr>
          <w:rFonts w:ascii="Times New Roman" w:hAnsi="Times New Roman" w:cs="Times New Roman"/>
          <w:sz w:val="24"/>
          <w:szCs w:val="24"/>
        </w:rPr>
        <w:t>20</w:t>
      </w:r>
      <w:r>
        <w:rPr>
          <w:rFonts w:ascii="Times New Roman" w:hAnsi="Times New Roman" w:cs="Times New Roman"/>
          <w:sz w:val="24"/>
          <w:szCs w:val="24"/>
        </w:rPr>
        <w:t xml:space="preserve">14 </w:t>
      </w:r>
      <w:r w:rsidRPr="00EE651E">
        <w:rPr>
          <w:rFonts w:ascii="Times New Roman" w:hAnsi="Times New Roman" w:cs="Times New Roman"/>
          <w:sz w:val="24"/>
          <w:szCs w:val="24"/>
        </w:rPr>
        <w:t>NIH permanent workforce</w:t>
      </w:r>
      <w:r>
        <w:rPr>
          <w:rFonts w:ascii="Times New Roman" w:hAnsi="Times New Roman" w:cs="Times New Roman"/>
          <w:sz w:val="24"/>
          <w:szCs w:val="24"/>
        </w:rPr>
        <w:t>.</w:t>
      </w:r>
      <w:r w:rsidRPr="00EE651E">
        <w:rPr>
          <w:rFonts w:ascii="Times New Roman" w:hAnsi="Times New Roman" w:cs="Times New Roman"/>
          <w:sz w:val="24"/>
          <w:szCs w:val="24"/>
        </w:rPr>
        <w:t xml:space="preserve"> </w:t>
      </w:r>
      <w:r w:rsidRPr="00EE651E">
        <w:rPr>
          <w:rFonts w:ascii="Times New Roman" w:eastAsia="Times New Roman" w:hAnsi="Times New Roman" w:cs="Times New Roman"/>
          <w:sz w:val="24"/>
          <w:szCs w:val="24"/>
        </w:rPr>
        <w:t xml:space="preserve">Although participation rates were on the increase for the five year period prior to </w:t>
      </w:r>
      <w:r w:rsidR="00695E65">
        <w:rPr>
          <w:rFonts w:ascii="Times New Roman" w:eastAsia="Times New Roman" w:hAnsi="Times New Roman" w:cs="Times New Roman"/>
          <w:sz w:val="24"/>
          <w:szCs w:val="24"/>
        </w:rPr>
        <w:t xml:space="preserve">FY </w:t>
      </w:r>
      <w:r w:rsidRPr="00EE651E">
        <w:rPr>
          <w:rFonts w:ascii="Times New Roman" w:eastAsia="Times New Roman" w:hAnsi="Times New Roman" w:cs="Times New Roman"/>
          <w:sz w:val="24"/>
          <w:szCs w:val="24"/>
        </w:rPr>
        <w:t>2013, this year’s review of NIH workforce data revealed that participation rates for people with targeted disabilities, as wel</w:t>
      </w:r>
      <w:r>
        <w:rPr>
          <w:rFonts w:ascii="Times New Roman" w:eastAsia="Times New Roman" w:hAnsi="Times New Roman" w:cs="Times New Roman"/>
          <w:sz w:val="24"/>
          <w:szCs w:val="24"/>
        </w:rPr>
        <w:t>l as the number of</w:t>
      </w:r>
      <w:r w:rsidRPr="00EE651E">
        <w:rPr>
          <w:rFonts w:ascii="Times New Roman" w:eastAsia="Times New Roman" w:hAnsi="Times New Roman" w:cs="Times New Roman"/>
          <w:sz w:val="24"/>
          <w:szCs w:val="24"/>
        </w:rPr>
        <w:t xml:space="preserve"> people with disabilities overall, decreased slightly </w:t>
      </w:r>
      <w:r>
        <w:rPr>
          <w:rFonts w:ascii="Times New Roman" w:eastAsia="Times New Roman" w:hAnsi="Times New Roman" w:cs="Times New Roman"/>
          <w:sz w:val="24"/>
          <w:szCs w:val="24"/>
        </w:rPr>
        <w:t xml:space="preserve">(by 7 people) from FY </w:t>
      </w:r>
      <w:r w:rsidR="00C7654D">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13 to FY </w:t>
      </w:r>
      <w:r w:rsidR="00C7654D">
        <w:rPr>
          <w:rFonts w:ascii="Times New Roman" w:eastAsia="Times New Roman" w:hAnsi="Times New Roman" w:cs="Times New Roman"/>
          <w:sz w:val="24"/>
          <w:szCs w:val="24"/>
        </w:rPr>
        <w:t>20</w:t>
      </w:r>
      <w:r w:rsidRPr="00EE651E">
        <w:rPr>
          <w:rFonts w:ascii="Times New Roman" w:eastAsia="Times New Roman" w:hAnsi="Times New Roman" w:cs="Times New Roman"/>
          <w:sz w:val="24"/>
          <w:szCs w:val="24"/>
        </w:rPr>
        <w:t xml:space="preserve">14. </w:t>
      </w:r>
    </w:p>
    <w:p w:rsidR="00D373A6" w:rsidRPr="00EE651E" w:rsidRDefault="00D373A6" w:rsidP="00D373A6">
      <w:pPr>
        <w:pStyle w:val="NoSpacing"/>
        <w:rPr>
          <w:noProof/>
          <w:sz w:val="24"/>
          <w:szCs w:val="24"/>
        </w:rPr>
      </w:pPr>
      <w:r w:rsidRPr="00EE651E">
        <w:rPr>
          <w:noProof/>
          <w:sz w:val="24"/>
          <w:szCs w:val="24"/>
        </w:rPr>
        <w:drawing>
          <wp:inline distT="0" distB="0" distL="0" distR="0" wp14:anchorId="08AC9369" wp14:editId="5F9FCE87">
            <wp:extent cx="5977467" cy="2904067"/>
            <wp:effectExtent l="0" t="0" r="23495" b="10795"/>
            <wp:docPr id="53" name="Chart 53" descr="This line graph shows a six-year trend of people with targeted disabilities in the total workforce, and the permanent workforce, compared to the federal goal of 2.0%. People with targeted disabilities in the total workforce increased from 1.0% to 1.2% during this time period." title="Percentage of NIH Workforce with Targeted Disabilities (FY 2009-FY 201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73A6" w:rsidRPr="000C0C45" w:rsidRDefault="00D373A6" w:rsidP="00D373A6">
      <w:pPr>
        <w:pStyle w:val="NoSpacing"/>
        <w:rPr>
          <w:rFonts w:ascii="Times New Roman" w:eastAsia="MS Mincho" w:hAnsi="Times New Roman" w:cs="Times New Roman"/>
          <w:sz w:val="16"/>
          <w:szCs w:val="16"/>
        </w:rPr>
      </w:pPr>
      <w:r w:rsidRPr="000C0C45">
        <w:rPr>
          <w:rFonts w:ascii="Times New Roman" w:hAnsi="Times New Roman" w:cs="Times New Roman"/>
          <w:sz w:val="16"/>
          <w:szCs w:val="16"/>
        </w:rPr>
        <w:t>Commissioned Corps and Foreign Nationals overseas are not included</w:t>
      </w:r>
    </w:p>
    <w:p w:rsidR="00D373A6" w:rsidRPr="000C0C45" w:rsidRDefault="00D373A6" w:rsidP="00D373A6">
      <w:pPr>
        <w:pStyle w:val="NoSpacing"/>
        <w:rPr>
          <w:rFonts w:ascii="Times New Roman" w:hAnsi="Times New Roman" w:cs="Times New Roman"/>
          <w:sz w:val="16"/>
          <w:szCs w:val="16"/>
        </w:rPr>
      </w:pPr>
      <w:r w:rsidRPr="000C0C45">
        <w:rPr>
          <w:rFonts w:ascii="Times New Roman" w:hAnsi="Times New Roman" w:cs="Times New Roman"/>
          <w:sz w:val="16"/>
          <w:szCs w:val="16"/>
        </w:rPr>
        <w:t>Permanent is Tenure 1 or 2 or pay plan ES or RS. Temporary is everyone who is not permanent.</w:t>
      </w:r>
    </w:p>
    <w:p w:rsidR="00D373A6" w:rsidRPr="000C0C45" w:rsidRDefault="00D373A6" w:rsidP="00D373A6">
      <w:pPr>
        <w:pStyle w:val="NoSpacing"/>
        <w:rPr>
          <w:rFonts w:ascii="Times New Roman" w:hAnsi="Times New Roman" w:cs="Times New Roman"/>
          <w:sz w:val="16"/>
          <w:szCs w:val="16"/>
        </w:rPr>
      </w:pPr>
      <w:r w:rsidRPr="000C0C45">
        <w:rPr>
          <w:rFonts w:ascii="Times New Roman" w:hAnsi="Times New Roman" w:cs="Times New Roman"/>
          <w:sz w:val="16"/>
          <w:szCs w:val="16"/>
        </w:rPr>
        <w:t>Source:  BIIS Table B1 as of September 30, 2014</w:t>
      </w:r>
    </w:p>
    <w:p w:rsidR="00D373A6" w:rsidRPr="00EE651E" w:rsidRDefault="00D373A6" w:rsidP="00D373A6">
      <w:pPr>
        <w:pStyle w:val="NoSpacing"/>
        <w:rPr>
          <w:rFonts w:ascii="Times New Roman" w:hAnsi="Times New Roman" w:cs="Times New Roman"/>
          <w:sz w:val="24"/>
          <w:szCs w:val="24"/>
        </w:rPr>
      </w:pPr>
      <w:r w:rsidRPr="00EE651E">
        <w:rPr>
          <w:noProof/>
          <w:sz w:val="24"/>
          <w:szCs w:val="24"/>
        </w:rPr>
        <w:lastRenderedPageBreak/>
        <w:drawing>
          <wp:inline distT="0" distB="0" distL="0" distR="0" wp14:anchorId="10C2F167" wp14:editId="21B3C686">
            <wp:extent cx="6011333" cy="2794000"/>
            <wp:effectExtent l="0" t="0" r="27940" b="25400"/>
            <wp:docPr id="54" name="Chart 54" descr="This bar chart shows the net change from FY 2013 to FY 2014 of people with disabilities at the NIH. The group of people with all disabilities decreased by 3.3%, and those with targeted disabilities decreased by 3.1% from FY 2013 to FY 2014." title="NIH Total Workforce Net Percentage Change from FY 2013 to FY 2014 by Disability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73A6" w:rsidRPr="000C0C45" w:rsidRDefault="00D373A6" w:rsidP="00D373A6">
      <w:pPr>
        <w:pStyle w:val="NoSpacing"/>
        <w:rPr>
          <w:rFonts w:ascii="Times New Roman" w:eastAsia="MS Mincho" w:hAnsi="Times New Roman" w:cs="Times New Roman"/>
          <w:sz w:val="16"/>
          <w:szCs w:val="16"/>
        </w:rPr>
      </w:pPr>
      <w:r w:rsidRPr="000C0C45">
        <w:rPr>
          <w:rFonts w:ascii="Times New Roman" w:hAnsi="Times New Roman" w:cs="Times New Roman"/>
          <w:sz w:val="16"/>
          <w:szCs w:val="16"/>
        </w:rPr>
        <w:t>Commissioned Corps and Foreign Nationals overseas are not included</w:t>
      </w:r>
    </w:p>
    <w:p w:rsidR="00D373A6" w:rsidRPr="000C0C45" w:rsidRDefault="00D373A6" w:rsidP="00D373A6">
      <w:pPr>
        <w:pStyle w:val="NoSpacing"/>
        <w:rPr>
          <w:rFonts w:ascii="Times New Roman" w:hAnsi="Times New Roman" w:cs="Times New Roman"/>
          <w:sz w:val="16"/>
          <w:szCs w:val="16"/>
        </w:rPr>
      </w:pPr>
      <w:r w:rsidRPr="000C0C45">
        <w:rPr>
          <w:rFonts w:ascii="Times New Roman" w:hAnsi="Times New Roman" w:cs="Times New Roman"/>
          <w:sz w:val="16"/>
          <w:szCs w:val="16"/>
        </w:rPr>
        <w:t>Permanent is Tenure 1 or 2 or pay plan ES or RS. Temporary is everyone who is not permanent.</w:t>
      </w:r>
    </w:p>
    <w:p w:rsidR="00D373A6" w:rsidRPr="000C0C45" w:rsidRDefault="00D373A6" w:rsidP="00D373A6">
      <w:pPr>
        <w:pStyle w:val="NoSpacing"/>
        <w:rPr>
          <w:rFonts w:ascii="Times New Roman" w:hAnsi="Times New Roman" w:cs="Times New Roman"/>
          <w:sz w:val="16"/>
          <w:szCs w:val="16"/>
        </w:rPr>
      </w:pPr>
      <w:r w:rsidRPr="000C0C45">
        <w:rPr>
          <w:rFonts w:ascii="Times New Roman" w:hAnsi="Times New Roman" w:cs="Times New Roman"/>
          <w:sz w:val="16"/>
          <w:szCs w:val="16"/>
        </w:rPr>
        <w:t>Source:  BIIS Table B1 as of September 30, 2014</w:t>
      </w:r>
    </w:p>
    <w:p w:rsidR="00D373A6" w:rsidRPr="00EE651E" w:rsidRDefault="00D373A6" w:rsidP="00D373A6">
      <w:pPr>
        <w:spacing w:line="240" w:lineRule="auto"/>
        <w:rPr>
          <w:rFonts w:asciiTheme="majorHAnsi" w:eastAsiaTheme="majorEastAsia" w:hAnsiTheme="majorHAnsi" w:cstheme="majorBidi"/>
          <w:b/>
          <w:bCs/>
          <w:color w:val="345A8A" w:themeColor="accent1" w:themeShade="B5"/>
          <w:sz w:val="24"/>
          <w:szCs w:val="24"/>
        </w:rPr>
      </w:pPr>
      <w:r w:rsidRPr="00EE651E">
        <w:rPr>
          <w:sz w:val="24"/>
          <w:szCs w:val="24"/>
        </w:rPr>
        <w:br w:type="page"/>
      </w:r>
    </w:p>
    <w:p w:rsidR="00D373A6" w:rsidRPr="00EE651E" w:rsidRDefault="00D373A6" w:rsidP="00D373A6">
      <w:pPr>
        <w:pStyle w:val="Heading1"/>
      </w:pPr>
      <w:bookmarkStart w:id="23" w:name="_Toc283564184"/>
      <w:bookmarkStart w:id="24" w:name="_Toc411523423"/>
      <w:r w:rsidRPr="00EE651E">
        <w:lastRenderedPageBreak/>
        <w:t>New Hires and Separations</w:t>
      </w:r>
      <w:bookmarkEnd w:id="23"/>
      <w:bookmarkEnd w:id="24"/>
    </w:p>
    <w:p w:rsidR="00D373A6" w:rsidRPr="00EE651E" w:rsidRDefault="00D373A6" w:rsidP="00D373A6">
      <w:pPr>
        <w:spacing w:line="240" w:lineRule="auto"/>
        <w:rPr>
          <w:rFonts w:ascii="Times New Roman" w:hAnsi="Times New Roman" w:cs="Times New Roman"/>
          <w:sz w:val="24"/>
          <w:szCs w:val="24"/>
        </w:rPr>
      </w:pPr>
      <w:r w:rsidRPr="00EE651E">
        <w:rPr>
          <w:rFonts w:ascii="Times New Roman" w:eastAsia="MS Mincho" w:hAnsi="Times New Roman" w:cs="Times New Roman"/>
          <w:sz w:val="24"/>
          <w:szCs w:val="24"/>
        </w:rPr>
        <w:t>An analysis of separations and hires were conducted to determine the existence of potential triggers and/or barriers.</w:t>
      </w:r>
    </w:p>
    <w:p w:rsidR="00D373A6" w:rsidRPr="00EE651E" w:rsidRDefault="00D373A6" w:rsidP="00D373A6">
      <w:pPr>
        <w:pStyle w:val="Heading2"/>
        <w:rPr>
          <w:sz w:val="24"/>
          <w:szCs w:val="24"/>
        </w:rPr>
      </w:pPr>
      <w:bookmarkStart w:id="25" w:name="_Toc283564185"/>
      <w:bookmarkStart w:id="26" w:name="_Toc411523424"/>
      <w:r w:rsidRPr="00EE651E">
        <w:rPr>
          <w:sz w:val="24"/>
          <w:szCs w:val="24"/>
        </w:rPr>
        <w:t>New Hires by Race/Ethnicity</w:t>
      </w:r>
      <w:bookmarkEnd w:id="25"/>
      <w:bookmarkEnd w:id="26"/>
      <w:r w:rsidRPr="00EE651E">
        <w:rPr>
          <w:sz w:val="24"/>
          <w:szCs w:val="24"/>
        </w:rPr>
        <w:t xml:space="preserve"> </w:t>
      </w:r>
    </w:p>
    <w:p w:rsidR="00D373A6" w:rsidRPr="00EE651E"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t>Trends among new hires of note were in the Black,</w:t>
      </w:r>
      <w:r>
        <w:rPr>
          <w:rFonts w:ascii="Times New Roman" w:eastAsia="MS Mincho" w:hAnsi="Times New Roman" w:cs="Times New Roman"/>
          <w:sz w:val="24"/>
          <w:szCs w:val="24"/>
        </w:rPr>
        <w:t xml:space="preserve"> Hispanic, and AI/AN groups</w:t>
      </w:r>
      <w:r w:rsidRPr="00EE651E">
        <w:rPr>
          <w:rFonts w:ascii="Times New Roman" w:eastAsia="MS Mincho" w:hAnsi="Times New Roman" w:cs="Times New Roman"/>
          <w:sz w:val="24"/>
          <w:szCs w:val="24"/>
        </w:rPr>
        <w:t xml:space="preserve">. New </w:t>
      </w:r>
      <w:r>
        <w:rPr>
          <w:rFonts w:ascii="Times New Roman" w:eastAsia="MS Mincho" w:hAnsi="Times New Roman" w:cs="Times New Roman"/>
          <w:sz w:val="24"/>
          <w:szCs w:val="24"/>
        </w:rPr>
        <w:t>hires in the Hispanic group</w:t>
      </w:r>
      <w:r w:rsidRPr="00EE651E">
        <w:rPr>
          <w:rFonts w:ascii="Times New Roman" w:eastAsia="MS Mincho" w:hAnsi="Times New Roman" w:cs="Times New Roman"/>
          <w:sz w:val="24"/>
          <w:szCs w:val="24"/>
        </w:rPr>
        <w:t xml:space="preserve"> decreased overall from 3.8% </w:t>
      </w:r>
      <w:r>
        <w:rPr>
          <w:rFonts w:ascii="Times New Roman" w:eastAsia="MS Mincho" w:hAnsi="Times New Roman" w:cs="Times New Roman"/>
          <w:sz w:val="24"/>
          <w:szCs w:val="24"/>
        </w:rPr>
        <w:t xml:space="preserve">in FY 2013 </w:t>
      </w:r>
      <w:r w:rsidRPr="00EE651E">
        <w:rPr>
          <w:rFonts w:ascii="Times New Roman" w:eastAsia="MS Mincho" w:hAnsi="Times New Roman" w:cs="Times New Roman"/>
          <w:sz w:val="24"/>
          <w:szCs w:val="24"/>
        </w:rPr>
        <w:t>to 2.7%</w:t>
      </w:r>
      <w:r>
        <w:rPr>
          <w:rFonts w:ascii="Times New Roman" w:eastAsia="MS Mincho" w:hAnsi="Times New Roman" w:cs="Times New Roman"/>
          <w:sz w:val="24"/>
          <w:szCs w:val="24"/>
        </w:rPr>
        <w:t xml:space="preserve"> in FY 2014</w:t>
      </w:r>
      <w:r w:rsidRPr="00EE651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00C7654D">
        <w:rPr>
          <w:rFonts w:ascii="Times New Roman" w:eastAsia="MS Mincho" w:hAnsi="Times New Roman" w:cs="Times New Roman"/>
          <w:sz w:val="24"/>
          <w:szCs w:val="24"/>
        </w:rPr>
        <w:t>N</w:t>
      </w:r>
      <w:r w:rsidRPr="00EE651E">
        <w:rPr>
          <w:rFonts w:ascii="Times New Roman" w:eastAsia="MS Mincho" w:hAnsi="Times New Roman" w:cs="Times New Roman"/>
          <w:sz w:val="24"/>
          <w:szCs w:val="24"/>
        </w:rPr>
        <w:t>ew hires</w:t>
      </w:r>
      <w:r w:rsidR="00C7654D">
        <w:rPr>
          <w:rFonts w:ascii="Times New Roman" w:eastAsia="MS Mincho" w:hAnsi="Times New Roman" w:cs="Times New Roman"/>
          <w:sz w:val="24"/>
          <w:szCs w:val="24"/>
        </w:rPr>
        <w:t xml:space="preserve"> in the Black group</w:t>
      </w:r>
      <w:r w:rsidRPr="00EE651E">
        <w:rPr>
          <w:rFonts w:ascii="Times New Roman" w:eastAsia="MS Mincho" w:hAnsi="Times New Roman" w:cs="Times New Roman"/>
          <w:sz w:val="24"/>
          <w:szCs w:val="24"/>
        </w:rPr>
        <w:t xml:space="preserve"> increased from 19.9% in </w:t>
      </w:r>
      <w:r w:rsidR="00C7654D">
        <w:rPr>
          <w:rFonts w:ascii="Times New Roman" w:eastAsia="MS Mincho" w:hAnsi="Times New Roman" w:cs="Times New Roman"/>
          <w:sz w:val="24"/>
          <w:szCs w:val="24"/>
        </w:rPr>
        <w:t xml:space="preserve">FY </w:t>
      </w:r>
      <w:r w:rsidRPr="00EE651E">
        <w:rPr>
          <w:rFonts w:ascii="Times New Roman" w:eastAsia="MS Mincho" w:hAnsi="Times New Roman" w:cs="Times New Roman"/>
          <w:sz w:val="24"/>
          <w:szCs w:val="24"/>
        </w:rPr>
        <w:t xml:space="preserve">2013 to 20.1% in </w:t>
      </w:r>
      <w:r w:rsidR="00C7654D">
        <w:rPr>
          <w:rFonts w:ascii="Times New Roman" w:eastAsia="MS Mincho" w:hAnsi="Times New Roman" w:cs="Times New Roman"/>
          <w:sz w:val="24"/>
          <w:szCs w:val="24"/>
        </w:rPr>
        <w:t xml:space="preserve">FY </w:t>
      </w:r>
      <w:r w:rsidRPr="00EE651E">
        <w:rPr>
          <w:rFonts w:ascii="Times New Roman" w:eastAsia="MS Mincho" w:hAnsi="Times New Roman" w:cs="Times New Roman"/>
          <w:sz w:val="24"/>
          <w:szCs w:val="24"/>
        </w:rPr>
        <w:t xml:space="preserve">2014. AI/AN new hires have increased slightly from 0.4% to 0.5%. </w:t>
      </w:r>
    </w:p>
    <w:p w:rsidR="00D373A6" w:rsidRPr="00E90011"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rFonts w:ascii="Times New Roman" w:hAnsi="Times New Roman" w:cs="Times New Roman"/>
          <w:noProof/>
          <w:sz w:val="24"/>
          <w:szCs w:val="24"/>
        </w:rPr>
        <w:drawing>
          <wp:inline distT="0" distB="0" distL="0" distR="0" wp14:anchorId="08D3CECF" wp14:editId="40B1A3A8">
            <wp:extent cx="5644896" cy="5468112"/>
            <wp:effectExtent l="0" t="0" r="13335" b="18415"/>
            <wp:docPr id="55" name="Chart 55" descr="This stacked bar chart shows new hires by race and ethnicity in FY 2013 and FY 2014. " title="NIH New Hires by Race &amp; Ethnicty FY 2013 vs.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90011">
        <w:rPr>
          <w:rFonts w:ascii="Times New Roman" w:hAnsi="Times New Roman" w:cs="Times New Roman"/>
          <w:sz w:val="16"/>
          <w:szCs w:val="16"/>
        </w:rPr>
        <w:t>Commissioned Corps and Foreign Nationals overseas are not included</w:t>
      </w:r>
      <w:r>
        <w:rPr>
          <w:rFonts w:ascii="Times New Roman" w:hAnsi="Times New Roman" w:cs="Times New Roman"/>
          <w:sz w:val="16"/>
          <w:szCs w:val="16"/>
        </w:rPr>
        <w:br/>
      </w:r>
      <w:r w:rsidRPr="00E90011">
        <w:rPr>
          <w:rFonts w:ascii="Times New Roman" w:hAnsi="Times New Roman" w:cs="Times New Roman"/>
          <w:sz w:val="16"/>
          <w:szCs w:val="16"/>
        </w:rPr>
        <w:t>Permanent is Tenure 1 or 2 or pay plan ES or RS. Temporary is everyone who is not permanent.</w:t>
      </w:r>
      <w:r>
        <w:rPr>
          <w:rFonts w:ascii="Times New Roman" w:hAnsi="Times New Roman" w:cs="Times New Roman"/>
          <w:sz w:val="16"/>
          <w:szCs w:val="16"/>
        </w:rPr>
        <w:br/>
      </w:r>
      <w:r w:rsidRPr="00E90011">
        <w:rPr>
          <w:rFonts w:ascii="Times New Roman" w:hAnsi="Times New Roman" w:cs="Times New Roman"/>
          <w:sz w:val="16"/>
          <w:szCs w:val="16"/>
        </w:rPr>
        <w:t xml:space="preserve">Source: BIIS Table A8 as of </w:t>
      </w:r>
      <w:r>
        <w:rPr>
          <w:rFonts w:ascii="Times New Roman" w:hAnsi="Times New Roman" w:cs="Times New Roman"/>
          <w:sz w:val="16"/>
          <w:szCs w:val="16"/>
        </w:rPr>
        <w:t xml:space="preserve">September 30, 2013 and </w:t>
      </w:r>
      <w:r w:rsidRPr="00E90011">
        <w:rPr>
          <w:rFonts w:ascii="Times New Roman" w:hAnsi="Times New Roman" w:cs="Times New Roman"/>
          <w:sz w:val="16"/>
          <w:szCs w:val="16"/>
        </w:rPr>
        <w:t>September 30, 2014.</w:t>
      </w:r>
      <w:r>
        <w:rPr>
          <w:rFonts w:ascii="Times New Roman" w:hAnsi="Times New Roman" w:cs="Times New Roman"/>
          <w:sz w:val="16"/>
          <w:szCs w:val="16"/>
        </w:rPr>
        <w:br/>
      </w:r>
      <w:r w:rsidRPr="00E90011">
        <w:rPr>
          <w:rFonts w:ascii="Times New Roman" w:hAnsi="Times New Roman" w:cs="Times New Roman"/>
          <w:sz w:val="16"/>
          <w:szCs w:val="16"/>
        </w:rPr>
        <w:t>New Hires are NOA codes 100 thru 199, including new to HHS, and excluding those new to unit via Promotions or Conversions.</w:t>
      </w:r>
    </w:p>
    <w:p w:rsidR="00D373A6" w:rsidRPr="00D34E4A" w:rsidRDefault="00D373A6" w:rsidP="00D34E4A">
      <w:pPr>
        <w:pStyle w:val="Heading2"/>
        <w:rPr>
          <w:rFonts w:asciiTheme="majorHAnsi" w:eastAsiaTheme="majorEastAsia" w:hAnsiTheme="majorHAnsi" w:cstheme="majorBidi"/>
          <w:color w:val="4F81BD" w:themeColor="accent1"/>
          <w:sz w:val="24"/>
          <w:szCs w:val="24"/>
        </w:rPr>
      </w:pPr>
      <w:r w:rsidRPr="00D34E4A">
        <w:rPr>
          <w:sz w:val="24"/>
          <w:szCs w:val="24"/>
        </w:rPr>
        <w:br w:type="page"/>
      </w:r>
      <w:bookmarkStart w:id="27" w:name="_Toc283564186"/>
      <w:bookmarkStart w:id="28" w:name="_Toc411523425"/>
      <w:r w:rsidRPr="00D34E4A">
        <w:rPr>
          <w:sz w:val="24"/>
          <w:szCs w:val="24"/>
        </w:rPr>
        <w:lastRenderedPageBreak/>
        <w:t>New Hires by Disability Status</w:t>
      </w:r>
      <w:bookmarkEnd w:id="27"/>
      <w:bookmarkEnd w:id="28"/>
    </w:p>
    <w:p w:rsidR="00D373A6"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t xml:space="preserve">The graph below depicts that new hires of people with targeted disabilities (PWTD) has increased from a rate of 0.6% to 1.0% from FY 2013 to FY 2014, however are still below the established Federal Goal of 2.0%.  </w:t>
      </w:r>
    </w:p>
    <w:p w:rsidR="00D373A6" w:rsidRPr="00EE651E"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Pr>
          <w:noProof/>
        </w:rPr>
        <w:drawing>
          <wp:inline distT="0" distB="0" distL="0" distR="0" wp14:anchorId="79E0304E" wp14:editId="28AA1D18">
            <wp:extent cx="5833533" cy="6189133"/>
            <wp:effectExtent l="0" t="0" r="15240" b="21590"/>
            <wp:docPr id="56" name="Chart 56" descr="This bar chart shows the NIH new hires by disability status: no disability, not identified, all disability, targeted disability, and the benchmark federal goal for targeted disability." title="NIH Total Workforce New Hires by Disability Status as of 4th Q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73A6" w:rsidRPr="00E90011" w:rsidRDefault="00D373A6" w:rsidP="00D373A6">
      <w:pPr>
        <w:pStyle w:val="NoSpacing"/>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 xml:space="preserve">Source: BIIS Table B8 as of </w:t>
      </w:r>
      <w:r>
        <w:rPr>
          <w:rFonts w:ascii="Times New Roman" w:hAnsi="Times New Roman" w:cs="Times New Roman"/>
          <w:sz w:val="16"/>
          <w:szCs w:val="16"/>
        </w:rPr>
        <w:t xml:space="preserve">September 30, 2013 and </w:t>
      </w:r>
      <w:r w:rsidRPr="00E90011">
        <w:rPr>
          <w:rFonts w:ascii="Times New Roman" w:hAnsi="Times New Roman" w:cs="Times New Roman"/>
          <w:sz w:val="16"/>
          <w:szCs w:val="16"/>
        </w:rPr>
        <w:t>September 30, 2014.</w:t>
      </w:r>
    </w:p>
    <w:p w:rsidR="00D373A6" w:rsidRPr="00EE651E" w:rsidRDefault="00D373A6" w:rsidP="00D373A6">
      <w:pPr>
        <w:pStyle w:val="NoSpacing"/>
        <w:rPr>
          <w:rFonts w:ascii="Times New Roman" w:hAnsi="Times New Roman" w:cs="Times New Roman"/>
          <w:sz w:val="24"/>
          <w:szCs w:val="24"/>
        </w:rPr>
      </w:pPr>
      <w:r w:rsidRPr="00E90011">
        <w:rPr>
          <w:rFonts w:ascii="Times New Roman" w:hAnsi="Times New Roman" w:cs="Times New Roman"/>
          <w:sz w:val="16"/>
          <w:szCs w:val="16"/>
        </w:rPr>
        <w:t>New Hires are NOA codes 100 thru 199, including new to HHS, and excluding those new to unit via Promotions or Conversions.</w:t>
      </w:r>
      <w:r w:rsidRPr="00EE651E">
        <w:rPr>
          <w:rFonts w:ascii="Times New Roman" w:hAnsi="Times New Roman" w:cs="Times New Roman"/>
          <w:sz w:val="24"/>
          <w:szCs w:val="24"/>
        </w:rPr>
        <w:br w:type="page"/>
      </w:r>
    </w:p>
    <w:p w:rsidR="00D373A6" w:rsidRPr="00EE651E" w:rsidRDefault="00D373A6" w:rsidP="00D373A6">
      <w:pPr>
        <w:pStyle w:val="Heading2"/>
        <w:rPr>
          <w:sz w:val="24"/>
          <w:szCs w:val="24"/>
        </w:rPr>
      </w:pPr>
      <w:bookmarkStart w:id="29" w:name="_Toc283564187"/>
      <w:bookmarkStart w:id="30" w:name="_Toc411523426"/>
      <w:r w:rsidRPr="00EE651E">
        <w:rPr>
          <w:sz w:val="24"/>
          <w:szCs w:val="24"/>
        </w:rPr>
        <w:lastRenderedPageBreak/>
        <w:t>Permanent Separations by Race/Ethnicity</w:t>
      </w:r>
      <w:bookmarkEnd w:id="29"/>
      <w:bookmarkEnd w:id="30"/>
      <w:r w:rsidR="00D34E4A">
        <w:rPr>
          <w:sz w:val="24"/>
          <w:szCs w:val="24"/>
        </w:rPr>
        <w:t xml:space="preserve"> </w:t>
      </w:r>
    </w:p>
    <w:p w:rsidR="00D373A6" w:rsidRPr="00EE651E" w:rsidRDefault="00D373A6" w:rsidP="00D373A6">
      <w:pPr>
        <w:spacing w:line="240" w:lineRule="auto"/>
        <w:rPr>
          <w:sz w:val="24"/>
          <w:szCs w:val="24"/>
        </w:rPr>
      </w:pPr>
      <w:r w:rsidRPr="00EE651E">
        <w:rPr>
          <w:rFonts w:ascii="Times New Roman" w:eastAsia="MS Mincho" w:hAnsi="Times New Roman" w:cs="Times New Roman"/>
          <w:sz w:val="24"/>
          <w:szCs w:val="24"/>
        </w:rPr>
        <w:t>When comparing FY 2013 separation rates to FY 2014 separation rates, NIH experienced an overall increase in the percentage of separations for</w:t>
      </w:r>
      <w:r>
        <w:rPr>
          <w:rFonts w:ascii="Times New Roman" w:eastAsia="MS Mincho" w:hAnsi="Times New Roman" w:cs="Times New Roman"/>
          <w:sz w:val="24"/>
          <w:szCs w:val="24"/>
        </w:rPr>
        <w:t xml:space="preserve"> all groups except AI/AN. </w:t>
      </w:r>
      <w:r w:rsidR="00C7654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White</w:t>
      </w:r>
      <w:r w:rsidRPr="00EE651E">
        <w:rPr>
          <w:rFonts w:ascii="Times New Roman" w:eastAsia="MS Mincho" w:hAnsi="Times New Roman" w:cs="Times New Roman"/>
          <w:sz w:val="24"/>
          <w:szCs w:val="24"/>
        </w:rPr>
        <w:t xml:space="preserve"> separat</w:t>
      </w:r>
      <w:r>
        <w:rPr>
          <w:rFonts w:ascii="Times New Roman" w:eastAsia="MS Mincho" w:hAnsi="Times New Roman" w:cs="Times New Roman"/>
          <w:sz w:val="24"/>
          <w:szCs w:val="24"/>
        </w:rPr>
        <w:t xml:space="preserve">ions decreased from </w:t>
      </w:r>
      <w:r w:rsidR="008B25A7">
        <w:rPr>
          <w:rFonts w:ascii="Times New Roman" w:eastAsia="MS Mincho" w:hAnsi="Times New Roman" w:cs="Times New Roman"/>
          <w:sz w:val="24"/>
          <w:szCs w:val="24"/>
        </w:rPr>
        <w:t xml:space="preserve">FY </w:t>
      </w:r>
      <w:r>
        <w:rPr>
          <w:rFonts w:ascii="Times New Roman" w:eastAsia="MS Mincho" w:hAnsi="Times New Roman" w:cs="Times New Roman"/>
          <w:sz w:val="24"/>
          <w:szCs w:val="24"/>
        </w:rPr>
        <w:t>2013</w:t>
      </w:r>
      <w:r w:rsidRPr="00EE651E">
        <w:rPr>
          <w:rFonts w:ascii="Times New Roman" w:eastAsia="MS Mincho" w:hAnsi="Times New Roman" w:cs="Times New Roman"/>
          <w:sz w:val="24"/>
          <w:szCs w:val="24"/>
        </w:rPr>
        <w:t xml:space="preserve"> (63.5%)</w:t>
      </w:r>
      <w:r>
        <w:rPr>
          <w:rFonts w:ascii="Times New Roman" w:eastAsia="MS Mincho" w:hAnsi="Times New Roman" w:cs="Times New Roman"/>
          <w:sz w:val="24"/>
          <w:szCs w:val="24"/>
        </w:rPr>
        <w:t xml:space="preserve"> in </w:t>
      </w:r>
      <w:r w:rsidR="008B25A7">
        <w:rPr>
          <w:rFonts w:ascii="Times New Roman" w:eastAsia="MS Mincho" w:hAnsi="Times New Roman" w:cs="Times New Roman"/>
          <w:sz w:val="24"/>
          <w:szCs w:val="24"/>
        </w:rPr>
        <w:t xml:space="preserve">FY </w:t>
      </w:r>
      <w:r>
        <w:rPr>
          <w:rFonts w:ascii="Times New Roman" w:eastAsia="MS Mincho" w:hAnsi="Times New Roman" w:cs="Times New Roman"/>
          <w:sz w:val="24"/>
          <w:szCs w:val="24"/>
        </w:rPr>
        <w:t>2014 (60.5%)</w:t>
      </w:r>
      <w:r w:rsidRPr="00EE651E">
        <w:rPr>
          <w:rFonts w:ascii="Times New Roman" w:eastAsia="MS Mincho" w:hAnsi="Times New Roman" w:cs="Times New Roman"/>
          <w:sz w:val="24"/>
          <w:szCs w:val="24"/>
        </w:rPr>
        <w:t xml:space="preserve">, Hispanics </w:t>
      </w:r>
      <w:r>
        <w:rPr>
          <w:rFonts w:ascii="Times New Roman" w:eastAsia="MS Mincho" w:hAnsi="Times New Roman" w:cs="Times New Roman"/>
          <w:sz w:val="24"/>
          <w:szCs w:val="24"/>
        </w:rPr>
        <w:t xml:space="preserve">increased </w:t>
      </w:r>
      <w:r w:rsidRPr="00EE651E">
        <w:rPr>
          <w:rFonts w:ascii="Times New Roman" w:eastAsia="MS Mincho" w:hAnsi="Times New Roman" w:cs="Times New Roman"/>
          <w:sz w:val="24"/>
          <w:szCs w:val="24"/>
        </w:rPr>
        <w:t>over the pr</w:t>
      </w:r>
      <w:r>
        <w:rPr>
          <w:rFonts w:ascii="Times New Roman" w:eastAsia="MS Mincho" w:hAnsi="Times New Roman" w:cs="Times New Roman"/>
          <w:sz w:val="24"/>
          <w:szCs w:val="24"/>
        </w:rPr>
        <w:t>evious year (from 2.7% to 2.9%)</w:t>
      </w:r>
      <w:r w:rsidRPr="00EE651E">
        <w:rPr>
          <w:rFonts w:ascii="Times New Roman" w:eastAsia="MS Mincho" w:hAnsi="Times New Roman" w:cs="Times New Roman"/>
          <w:sz w:val="24"/>
          <w:szCs w:val="24"/>
        </w:rPr>
        <w:t xml:space="preserve">, Blacks </w:t>
      </w:r>
      <w:r>
        <w:rPr>
          <w:rFonts w:ascii="Times New Roman" w:eastAsia="MS Mincho" w:hAnsi="Times New Roman" w:cs="Times New Roman"/>
          <w:sz w:val="24"/>
          <w:szCs w:val="24"/>
        </w:rPr>
        <w:t xml:space="preserve">increased </w:t>
      </w:r>
      <w:r w:rsidRPr="00EE651E">
        <w:rPr>
          <w:rFonts w:ascii="Times New Roman" w:eastAsia="MS Mincho" w:hAnsi="Times New Roman" w:cs="Times New Roman"/>
          <w:sz w:val="24"/>
          <w:szCs w:val="24"/>
        </w:rPr>
        <w:t>over the previous year (from 25.0% to 27.6%)</w:t>
      </w:r>
      <w:r>
        <w:rPr>
          <w:rFonts w:ascii="Times New Roman" w:eastAsia="MS Mincho" w:hAnsi="Times New Roman" w:cs="Times New Roman"/>
          <w:sz w:val="24"/>
          <w:szCs w:val="24"/>
        </w:rPr>
        <w:t>, and</w:t>
      </w:r>
      <w:r w:rsidRPr="00EE651E">
        <w:rPr>
          <w:rFonts w:ascii="Times New Roman" w:eastAsia="MS Mincho" w:hAnsi="Times New Roman" w:cs="Times New Roman"/>
          <w:sz w:val="24"/>
          <w:szCs w:val="24"/>
        </w:rPr>
        <w:t xml:space="preserve"> </w:t>
      </w:r>
      <w:r w:rsidR="00695E65">
        <w:rPr>
          <w:rFonts w:ascii="Times New Roman" w:eastAsia="MS Mincho" w:hAnsi="Times New Roman" w:cs="Times New Roman"/>
          <w:sz w:val="24"/>
          <w:szCs w:val="24"/>
        </w:rPr>
        <w:t xml:space="preserve">the </w:t>
      </w:r>
      <w:r w:rsidRPr="00EE651E">
        <w:rPr>
          <w:rFonts w:ascii="Times New Roman" w:eastAsia="MS Mincho" w:hAnsi="Times New Roman" w:cs="Times New Roman"/>
          <w:sz w:val="24"/>
          <w:szCs w:val="24"/>
        </w:rPr>
        <w:t>AI/AN</w:t>
      </w:r>
      <w:r w:rsidR="00695E65">
        <w:rPr>
          <w:rFonts w:ascii="Times New Roman" w:eastAsia="MS Mincho" w:hAnsi="Times New Roman" w:cs="Times New Roman"/>
          <w:sz w:val="24"/>
          <w:szCs w:val="24"/>
        </w:rPr>
        <w:t xml:space="preserve"> group</w:t>
      </w:r>
      <w:r>
        <w:rPr>
          <w:rFonts w:ascii="Times New Roman" w:eastAsia="MS Mincho" w:hAnsi="Times New Roman" w:cs="Times New Roman"/>
          <w:sz w:val="24"/>
          <w:szCs w:val="24"/>
        </w:rPr>
        <w:t xml:space="preserve"> decreased</w:t>
      </w:r>
      <w:r w:rsidRPr="00EE651E">
        <w:rPr>
          <w:rFonts w:ascii="Times New Roman" w:eastAsia="MS Mincho" w:hAnsi="Times New Roman" w:cs="Times New Roman"/>
          <w:sz w:val="24"/>
          <w:szCs w:val="24"/>
        </w:rPr>
        <w:t xml:space="preserve"> from </w:t>
      </w:r>
      <w:r>
        <w:rPr>
          <w:rFonts w:ascii="Times New Roman" w:eastAsia="MS Mincho" w:hAnsi="Times New Roman" w:cs="Times New Roman"/>
          <w:sz w:val="24"/>
          <w:szCs w:val="24"/>
        </w:rPr>
        <w:t>(0.7% to 0.1%).</w:t>
      </w:r>
      <w:r w:rsidR="00C7654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Further </w:t>
      </w:r>
      <w:r w:rsidRPr="00EE651E">
        <w:rPr>
          <w:rFonts w:ascii="Times New Roman" w:eastAsia="MS Mincho" w:hAnsi="Times New Roman" w:cs="Times New Roman"/>
          <w:sz w:val="24"/>
          <w:szCs w:val="24"/>
        </w:rPr>
        <w:t>analyses will be conducted to determine whether policies, practices or procedures have created systemic barriers at NIH to employment for affected groups.</w:t>
      </w:r>
    </w:p>
    <w:p w:rsidR="00D373A6" w:rsidRPr="00E90011"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noProof/>
          <w:sz w:val="24"/>
          <w:szCs w:val="24"/>
        </w:rPr>
        <w:drawing>
          <wp:inline distT="0" distB="0" distL="0" distR="0" wp14:anchorId="212AE5D5" wp14:editId="05BFD421">
            <wp:extent cx="5943600" cy="5613400"/>
            <wp:effectExtent l="0" t="0" r="19050" b="25400"/>
            <wp:docPr id="57" name="Chart 57" descr="This stacked bar chart shows the NIH permanent separations by race and ethnicity for FY 2013 and FY 2014." title="NIH Permanent Separations by Race &amp; Ethnicity FY 2013 vs.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90011">
        <w:rPr>
          <w:rFonts w:ascii="Times New Roman" w:hAnsi="Times New Roman" w:cs="Times New Roman"/>
          <w:sz w:val="16"/>
          <w:szCs w:val="16"/>
        </w:rPr>
        <w:t>Commissioned Corps and Foreign Nationals overseas are not included</w:t>
      </w:r>
      <w:r>
        <w:rPr>
          <w:rFonts w:ascii="Times New Roman" w:hAnsi="Times New Roman" w:cs="Times New Roman"/>
          <w:sz w:val="16"/>
          <w:szCs w:val="16"/>
        </w:rPr>
        <w:br/>
      </w:r>
      <w:r w:rsidRPr="00E90011">
        <w:rPr>
          <w:rFonts w:ascii="Times New Roman" w:hAnsi="Times New Roman" w:cs="Times New Roman"/>
          <w:sz w:val="16"/>
          <w:szCs w:val="16"/>
        </w:rPr>
        <w:t>Permanent is Tenure 1 or 2 or pay plan ES or RS. Temporary is everyone who is not permanent.</w:t>
      </w:r>
      <w:r>
        <w:rPr>
          <w:rFonts w:ascii="Times New Roman" w:hAnsi="Times New Roman" w:cs="Times New Roman"/>
          <w:sz w:val="16"/>
          <w:szCs w:val="16"/>
        </w:rPr>
        <w:br/>
      </w:r>
      <w:r w:rsidRPr="00E90011">
        <w:rPr>
          <w:rFonts w:ascii="Times New Roman" w:hAnsi="Times New Roman" w:cs="Times New Roman"/>
          <w:sz w:val="16"/>
          <w:szCs w:val="16"/>
        </w:rPr>
        <w:t xml:space="preserve">Source: BIIS Table A14 as of </w:t>
      </w:r>
      <w:r>
        <w:rPr>
          <w:rFonts w:ascii="Times New Roman" w:hAnsi="Times New Roman" w:cs="Times New Roman"/>
          <w:sz w:val="16"/>
          <w:szCs w:val="16"/>
        </w:rPr>
        <w:t xml:space="preserve">September 30, 2013 and </w:t>
      </w:r>
      <w:r w:rsidRPr="00E90011">
        <w:rPr>
          <w:rFonts w:ascii="Times New Roman" w:hAnsi="Times New Roman" w:cs="Times New Roman"/>
          <w:sz w:val="16"/>
          <w:szCs w:val="16"/>
        </w:rPr>
        <w:t>September 30, 2014.</w:t>
      </w:r>
      <w:r>
        <w:rPr>
          <w:rFonts w:ascii="Times New Roman" w:hAnsi="Times New Roman" w:cs="Times New Roman"/>
          <w:sz w:val="16"/>
          <w:szCs w:val="16"/>
        </w:rPr>
        <w:br/>
      </w:r>
      <w:r w:rsidRPr="00E90011">
        <w:rPr>
          <w:rFonts w:ascii="Times New Roman" w:hAnsi="Times New Roman" w:cs="Times New Roman"/>
          <w:sz w:val="16"/>
          <w:szCs w:val="16"/>
        </w:rPr>
        <w:t>Separations are NOA codes 300 thru 399, excluding those who leave unit via promotions, conversions, or transfer within HHS.</w:t>
      </w:r>
      <w:r>
        <w:rPr>
          <w:rFonts w:ascii="Times New Roman" w:hAnsi="Times New Roman" w:cs="Times New Roman"/>
          <w:sz w:val="16"/>
          <w:szCs w:val="16"/>
        </w:rPr>
        <w:br/>
      </w:r>
      <w:r w:rsidRPr="00E90011">
        <w:rPr>
          <w:rFonts w:ascii="Times New Roman" w:hAnsi="Times New Roman" w:cs="Times New Roman"/>
          <w:sz w:val="16"/>
          <w:szCs w:val="16"/>
        </w:rPr>
        <w:t>Voluntary Separations are Nature of Action (NOA) codes that are not involuntary.  Total Separations include Voluntary and Involuntary Separations.</w:t>
      </w:r>
    </w:p>
    <w:p w:rsidR="00D373A6" w:rsidRPr="00EE651E" w:rsidRDefault="00D373A6" w:rsidP="00D373A6">
      <w:pPr>
        <w:pStyle w:val="NoSpacing"/>
        <w:rPr>
          <w:rFonts w:ascii="Times New Roman" w:hAnsi="Times New Roman" w:cs="Times New Roman"/>
          <w:sz w:val="24"/>
          <w:szCs w:val="24"/>
        </w:rPr>
      </w:pPr>
    </w:p>
    <w:p w:rsidR="00D373A6" w:rsidRPr="00EE651E" w:rsidRDefault="00D373A6" w:rsidP="00D373A6">
      <w:pPr>
        <w:pStyle w:val="NoSpacing"/>
        <w:rPr>
          <w:rFonts w:ascii="Times New Roman" w:hAnsi="Times New Roman" w:cs="Times New Roman"/>
          <w:sz w:val="24"/>
          <w:szCs w:val="24"/>
        </w:rPr>
      </w:pPr>
    </w:p>
    <w:p w:rsidR="00D373A6" w:rsidRPr="00EE651E" w:rsidRDefault="00D373A6" w:rsidP="00D373A6">
      <w:pPr>
        <w:pStyle w:val="NoSpacing"/>
        <w:rPr>
          <w:rFonts w:ascii="Times New Roman" w:hAnsi="Times New Roman" w:cs="Times New Roman"/>
          <w:sz w:val="24"/>
          <w:szCs w:val="24"/>
        </w:rPr>
      </w:pPr>
      <w:r w:rsidRPr="00EE651E">
        <w:rPr>
          <w:noProof/>
          <w:sz w:val="24"/>
          <w:szCs w:val="24"/>
        </w:rPr>
        <w:drawing>
          <wp:inline distT="0" distB="0" distL="0" distR="0" wp14:anchorId="2B39AEDC" wp14:editId="5EF60297">
            <wp:extent cx="5943600" cy="6985000"/>
            <wp:effectExtent l="0" t="0" r="19050" b="25400"/>
            <wp:docPr id="58" name="Chart 58" descr="This stacked bar chart shows separations in the NIH temporary workforce by race and ethnicity for FY 2013 and FY 2014." title="NIH Temporary Separations By Race &amp; Ethnicity FY 2013 vs.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73A6" w:rsidRPr="00E90011"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 xml:space="preserve">Source: BIIS Table A14 as of </w:t>
      </w:r>
      <w:r>
        <w:rPr>
          <w:rFonts w:ascii="Times New Roman" w:hAnsi="Times New Roman" w:cs="Times New Roman"/>
          <w:sz w:val="16"/>
          <w:szCs w:val="16"/>
        </w:rPr>
        <w:t xml:space="preserve">September 30, 2013 and </w:t>
      </w:r>
      <w:r w:rsidRPr="00E90011">
        <w:rPr>
          <w:rFonts w:ascii="Times New Roman" w:hAnsi="Times New Roman" w:cs="Times New Roman"/>
          <w:sz w:val="16"/>
          <w:szCs w:val="16"/>
        </w:rPr>
        <w:t>September 30, 2014.</w:t>
      </w:r>
    </w:p>
    <w:p w:rsidR="00D373A6" w:rsidRPr="00E90011"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Separations are NOA codes 300 thru 399, excluding those who leave unit via promotions, conversions, or transfer within HHS.</w:t>
      </w:r>
    </w:p>
    <w:p w:rsidR="00D373A6" w:rsidRPr="005C1EF9" w:rsidRDefault="00D373A6" w:rsidP="00D373A6">
      <w:pPr>
        <w:pStyle w:val="NoSpacing"/>
        <w:rPr>
          <w:rFonts w:ascii="Times New Roman" w:hAnsi="Times New Roman" w:cs="Times New Roman"/>
          <w:sz w:val="16"/>
          <w:szCs w:val="16"/>
        </w:rPr>
      </w:pPr>
      <w:r w:rsidRPr="00E90011">
        <w:rPr>
          <w:rFonts w:ascii="Times New Roman" w:hAnsi="Times New Roman" w:cs="Times New Roman"/>
          <w:sz w:val="16"/>
          <w:szCs w:val="16"/>
        </w:rPr>
        <w:t>Voluntary Separations are Nature of Action (NOA) codes that are not involuntary.  Total Separations include Voluntary and Involuntary Separations.</w:t>
      </w:r>
      <w:r w:rsidRPr="00EE651E">
        <w:rPr>
          <w:rFonts w:ascii="Times New Roman" w:hAnsi="Times New Roman" w:cs="Times New Roman"/>
          <w:sz w:val="24"/>
          <w:szCs w:val="24"/>
        </w:rPr>
        <w:br w:type="page"/>
      </w:r>
    </w:p>
    <w:p w:rsidR="00D373A6" w:rsidRPr="00EE651E" w:rsidRDefault="00D373A6" w:rsidP="00D373A6">
      <w:pPr>
        <w:pStyle w:val="Heading2"/>
        <w:rPr>
          <w:sz w:val="24"/>
          <w:szCs w:val="24"/>
        </w:rPr>
      </w:pPr>
      <w:bookmarkStart w:id="31" w:name="_Toc283564188"/>
      <w:bookmarkStart w:id="32" w:name="_Toc411523427"/>
      <w:r w:rsidRPr="00EE651E">
        <w:rPr>
          <w:sz w:val="24"/>
          <w:szCs w:val="24"/>
        </w:rPr>
        <w:lastRenderedPageBreak/>
        <w:t>Separations by Disability Status</w:t>
      </w:r>
      <w:bookmarkEnd w:id="31"/>
      <w:bookmarkEnd w:id="32"/>
    </w:p>
    <w:p w:rsidR="00D373A6" w:rsidRPr="00EE651E"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sidRPr="00EE651E">
        <w:rPr>
          <w:rFonts w:ascii="Times New Roman" w:eastAsia="MS Mincho" w:hAnsi="Times New Roman" w:cs="Times New Roman"/>
          <w:sz w:val="24"/>
          <w:szCs w:val="24"/>
        </w:rPr>
        <w:t>Employees with targeted disabilities separated at a faster rate f</w:t>
      </w:r>
      <w:r>
        <w:rPr>
          <w:rFonts w:ascii="Times New Roman" w:eastAsia="MS Mincho" w:hAnsi="Times New Roman" w:cs="Times New Roman"/>
          <w:sz w:val="24"/>
          <w:szCs w:val="24"/>
        </w:rPr>
        <w:t>rom the permanent workforce (1.3</w:t>
      </w:r>
      <w:r w:rsidRPr="00EE651E">
        <w:rPr>
          <w:rFonts w:ascii="Times New Roman" w:eastAsia="MS Mincho" w:hAnsi="Times New Roman" w:cs="Times New Roman"/>
          <w:sz w:val="24"/>
          <w:szCs w:val="24"/>
        </w:rPr>
        <w:t>%) as compared</w:t>
      </w:r>
      <w:r>
        <w:rPr>
          <w:rFonts w:ascii="Times New Roman" w:eastAsia="MS Mincho" w:hAnsi="Times New Roman" w:cs="Times New Roman"/>
          <w:sz w:val="24"/>
          <w:szCs w:val="24"/>
        </w:rPr>
        <w:t xml:space="preserve"> to the temporary workforce (0.9</w:t>
      </w:r>
      <w:r w:rsidRPr="00EE651E">
        <w:rPr>
          <w:rFonts w:ascii="Times New Roman" w:eastAsia="MS Mincho" w:hAnsi="Times New Roman" w:cs="Times New Roman"/>
          <w:sz w:val="24"/>
          <w:szCs w:val="24"/>
        </w:rPr>
        <w:t>%).</w:t>
      </w:r>
    </w:p>
    <w:p w:rsidR="00D373A6" w:rsidRPr="00E90011" w:rsidRDefault="00D373A6" w:rsidP="00D373A6">
      <w:pPr>
        <w:widowControl w:val="0"/>
        <w:autoSpaceDE w:val="0"/>
        <w:autoSpaceDN w:val="0"/>
        <w:adjustRightInd w:val="0"/>
        <w:spacing w:after="240" w:line="240" w:lineRule="auto"/>
        <w:rPr>
          <w:rFonts w:ascii="Times New Roman" w:eastAsia="MS Mincho" w:hAnsi="Times New Roman" w:cs="Times New Roman"/>
          <w:sz w:val="24"/>
          <w:szCs w:val="24"/>
        </w:rPr>
      </w:pPr>
      <w:r>
        <w:rPr>
          <w:noProof/>
        </w:rPr>
        <w:drawing>
          <wp:inline distT="0" distB="0" distL="0" distR="0" wp14:anchorId="1ECE3E70" wp14:editId="693E1185">
            <wp:extent cx="5425751" cy="2897155"/>
            <wp:effectExtent l="0" t="0" r="22860" b="17780"/>
            <wp:docPr id="59" name="Chart 59" descr="This bar chart shows separations in the the NIH permanent workforce by disability status in FY 2013 and FY 2014." title="NIH Total Permanent Separations Workforce by Disability Status as of 4th Q FY 2014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cs="Times New Roman"/>
          <w:sz w:val="16"/>
          <w:szCs w:val="16"/>
        </w:rPr>
        <w:br/>
      </w:r>
      <w:r w:rsidRPr="00E90011">
        <w:rPr>
          <w:rFonts w:ascii="Times New Roman" w:hAnsi="Times New Roman" w:cs="Times New Roman"/>
          <w:sz w:val="16"/>
          <w:szCs w:val="16"/>
        </w:rPr>
        <w:t>Commissioned Corps and Foreign Nationals overseas are not included</w:t>
      </w:r>
      <w:r>
        <w:rPr>
          <w:rFonts w:ascii="Times New Roman" w:hAnsi="Times New Roman" w:cs="Times New Roman"/>
          <w:sz w:val="16"/>
          <w:szCs w:val="16"/>
        </w:rPr>
        <w:br/>
      </w:r>
      <w:r w:rsidRPr="00E90011">
        <w:rPr>
          <w:rFonts w:ascii="Times New Roman" w:hAnsi="Times New Roman" w:cs="Times New Roman"/>
          <w:sz w:val="16"/>
          <w:szCs w:val="16"/>
        </w:rPr>
        <w:t>Permanent is Tenure 1 or 2 or pay plan ES or RS. Temporary is everyone who is not permanent.</w:t>
      </w:r>
      <w:r>
        <w:rPr>
          <w:rFonts w:ascii="Times New Roman" w:hAnsi="Times New Roman" w:cs="Times New Roman"/>
          <w:sz w:val="16"/>
          <w:szCs w:val="16"/>
        </w:rPr>
        <w:br/>
      </w:r>
      <w:r w:rsidRPr="00E90011">
        <w:rPr>
          <w:rFonts w:ascii="Times New Roman" w:hAnsi="Times New Roman" w:cs="Times New Roman"/>
          <w:sz w:val="16"/>
          <w:szCs w:val="16"/>
        </w:rPr>
        <w:t>Source: BIIS Table B14 as of</w:t>
      </w:r>
      <w:r>
        <w:rPr>
          <w:rFonts w:ascii="Times New Roman" w:hAnsi="Times New Roman" w:cs="Times New Roman"/>
          <w:sz w:val="16"/>
          <w:szCs w:val="16"/>
        </w:rPr>
        <w:t xml:space="preserve"> September 30, 2013 and </w:t>
      </w:r>
      <w:r w:rsidRPr="00E90011">
        <w:rPr>
          <w:rFonts w:ascii="Times New Roman" w:hAnsi="Times New Roman" w:cs="Times New Roman"/>
          <w:sz w:val="16"/>
          <w:szCs w:val="16"/>
        </w:rPr>
        <w:t>September 30, 2014.</w:t>
      </w:r>
      <w:r>
        <w:rPr>
          <w:rFonts w:ascii="Times New Roman" w:hAnsi="Times New Roman" w:cs="Times New Roman"/>
          <w:sz w:val="16"/>
          <w:szCs w:val="16"/>
        </w:rPr>
        <w:br/>
      </w:r>
      <w:r w:rsidRPr="00E90011">
        <w:rPr>
          <w:rFonts w:ascii="Times New Roman" w:hAnsi="Times New Roman" w:cs="Times New Roman"/>
          <w:sz w:val="16"/>
          <w:szCs w:val="16"/>
        </w:rPr>
        <w:t>Separations are NOA codes 300 thru 399, excluding those who leave unit via promotions, conversions, or transfer within HHS.</w:t>
      </w:r>
      <w:r>
        <w:rPr>
          <w:rFonts w:ascii="Times New Roman" w:hAnsi="Times New Roman" w:cs="Times New Roman"/>
          <w:sz w:val="16"/>
          <w:szCs w:val="16"/>
        </w:rPr>
        <w:br/>
      </w:r>
      <w:r w:rsidRPr="00E90011">
        <w:rPr>
          <w:rFonts w:ascii="Times New Roman" w:hAnsi="Times New Roman" w:cs="Times New Roman"/>
          <w:sz w:val="16"/>
          <w:szCs w:val="16"/>
        </w:rPr>
        <w:t>Voluntary Separations are Nature of Action (NOA) codes that are not involuntary.  Total Separations include Voluntary and Involuntary Separations.</w:t>
      </w:r>
    </w:p>
    <w:p w:rsidR="00D373A6" w:rsidRDefault="00D373A6" w:rsidP="00D373A6">
      <w:pPr>
        <w:widowControl w:val="0"/>
        <w:autoSpaceDE w:val="0"/>
        <w:autoSpaceDN w:val="0"/>
        <w:adjustRightInd w:val="0"/>
        <w:spacing w:after="240" w:line="240" w:lineRule="auto"/>
        <w:rPr>
          <w:rFonts w:ascii="Times New Roman" w:hAnsi="Times New Roman" w:cs="Times New Roman"/>
          <w:sz w:val="16"/>
          <w:szCs w:val="16"/>
        </w:rPr>
      </w:pPr>
      <w:r>
        <w:rPr>
          <w:rFonts w:ascii="Times New Roman" w:hAnsi="Times New Roman" w:cs="Times New Roman"/>
          <w:sz w:val="16"/>
          <w:szCs w:val="16"/>
        </w:rPr>
        <w:br/>
      </w:r>
      <w:r>
        <w:rPr>
          <w:noProof/>
        </w:rPr>
        <w:drawing>
          <wp:inline distT="0" distB="0" distL="0" distR="0" wp14:anchorId="0D331C6C" wp14:editId="7CD60D6F">
            <wp:extent cx="5388429" cy="2374641"/>
            <wp:effectExtent l="0" t="0" r="22225" b="26035"/>
            <wp:docPr id="60" name="Chart 60" descr="This bar chart shows the NIH temporary workforce separations by disability status." title="NIH Total Temporary Separations by Disability Status as of 4th Q FY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73A6" w:rsidRDefault="00D373A6" w:rsidP="00D373A6">
      <w:pPr>
        <w:widowControl w:val="0"/>
        <w:autoSpaceDE w:val="0"/>
        <w:autoSpaceDN w:val="0"/>
        <w:adjustRightInd w:val="0"/>
        <w:spacing w:after="240" w:line="240" w:lineRule="auto"/>
        <w:rPr>
          <w:rFonts w:ascii="Times New Roman" w:eastAsia="MS Mincho" w:hAnsi="Times New Roman" w:cs="Times New Roman"/>
          <w:strike/>
          <w:sz w:val="16"/>
          <w:szCs w:val="16"/>
        </w:rPr>
      </w:pPr>
      <w:r w:rsidRPr="00E90011">
        <w:rPr>
          <w:rFonts w:ascii="Times New Roman" w:hAnsi="Times New Roman" w:cs="Times New Roman"/>
          <w:sz w:val="16"/>
          <w:szCs w:val="16"/>
        </w:rPr>
        <w:t>Commissioned Corps and Foreign Nationals overseas are not included</w:t>
      </w:r>
      <w:r>
        <w:rPr>
          <w:rFonts w:ascii="Times New Roman" w:hAnsi="Times New Roman" w:cs="Times New Roman"/>
          <w:sz w:val="16"/>
          <w:szCs w:val="16"/>
        </w:rPr>
        <w:br/>
      </w:r>
      <w:r w:rsidRPr="00E90011">
        <w:rPr>
          <w:rFonts w:ascii="Times New Roman" w:hAnsi="Times New Roman" w:cs="Times New Roman"/>
          <w:sz w:val="16"/>
          <w:szCs w:val="16"/>
        </w:rPr>
        <w:t>Permanent is Tenure 1 or 2 or pay plan ES or RS. Temporary is everyone who is not permanent.</w:t>
      </w:r>
      <w:r>
        <w:rPr>
          <w:rFonts w:ascii="Times New Roman" w:hAnsi="Times New Roman" w:cs="Times New Roman"/>
          <w:sz w:val="16"/>
          <w:szCs w:val="16"/>
        </w:rPr>
        <w:br/>
      </w:r>
      <w:r w:rsidRPr="00E90011">
        <w:rPr>
          <w:rFonts w:ascii="Times New Roman" w:hAnsi="Times New Roman" w:cs="Times New Roman"/>
          <w:sz w:val="16"/>
          <w:szCs w:val="16"/>
        </w:rPr>
        <w:t xml:space="preserve">Source: BIIS Table A14 as of </w:t>
      </w:r>
      <w:r>
        <w:rPr>
          <w:rFonts w:ascii="Times New Roman" w:hAnsi="Times New Roman" w:cs="Times New Roman"/>
          <w:sz w:val="16"/>
          <w:szCs w:val="16"/>
        </w:rPr>
        <w:t xml:space="preserve">September 30, 2013 and </w:t>
      </w:r>
      <w:r w:rsidRPr="00E90011">
        <w:rPr>
          <w:rFonts w:ascii="Times New Roman" w:hAnsi="Times New Roman" w:cs="Times New Roman"/>
          <w:sz w:val="16"/>
          <w:szCs w:val="16"/>
        </w:rPr>
        <w:t>September 30, 2014.</w:t>
      </w:r>
      <w:r>
        <w:rPr>
          <w:rFonts w:ascii="Times New Roman" w:hAnsi="Times New Roman" w:cs="Times New Roman"/>
          <w:sz w:val="16"/>
          <w:szCs w:val="16"/>
        </w:rPr>
        <w:br/>
      </w:r>
      <w:r w:rsidRPr="00E90011">
        <w:rPr>
          <w:rFonts w:ascii="Times New Roman" w:hAnsi="Times New Roman" w:cs="Times New Roman"/>
          <w:sz w:val="16"/>
          <w:szCs w:val="16"/>
        </w:rPr>
        <w:t>Separations are NOA codes 300 thru 399, excluding those who leave unit via promotions, conversions, or transfer within HHS.</w:t>
      </w:r>
      <w:r>
        <w:rPr>
          <w:rFonts w:ascii="Times New Roman" w:hAnsi="Times New Roman" w:cs="Times New Roman"/>
          <w:sz w:val="16"/>
          <w:szCs w:val="16"/>
        </w:rPr>
        <w:br/>
      </w:r>
      <w:r w:rsidRPr="00E90011">
        <w:rPr>
          <w:rFonts w:ascii="Times New Roman" w:hAnsi="Times New Roman" w:cs="Times New Roman"/>
          <w:sz w:val="16"/>
          <w:szCs w:val="16"/>
        </w:rPr>
        <w:t>Voluntary Separations are Nature of Action (NOA) codes that are not involuntary.  Total Separations include Voluntary and Involuntary Separations.</w:t>
      </w:r>
      <w:r w:rsidRPr="00E90011">
        <w:rPr>
          <w:rFonts w:ascii="Times New Roman" w:eastAsia="MS Mincho" w:hAnsi="Times New Roman" w:cs="Times New Roman"/>
          <w:strike/>
          <w:sz w:val="16"/>
          <w:szCs w:val="16"/>
        </w:rPr>
        <w:t xml:space="preserve"> </w:t>
      </w:r>
    </w:p>
    <w:p w:rsidR="00D373A6" w:rsidRPr="00406653" w:rsidRDefault="00D373A6" w:rsidP="00D34E4A">
      <w:pPr>
        <w:pStyle w:val="Heading1"/>
        <w:rPr>
          <w:sz w:val="24"/>
          <w:szCs w:val="24"/>
        </w:rPr>
      </w:pPr>
      <w:bookmarkStart w:id="33" w:name="_Toc283564189"/>
      <w:bookmarkStart w:id="34" w:name="_Toc411523428"/>
      <w:r w:rsidRPr="00EE651E">
        <w:lastRenderedPageBreak/>
        <w:t>Upward Mobility Analysis</w:t>
      </w:r>
      <w:bookmarkEnd w:id="33"/>
      <w:bookmarkEnd w:id="34"/>
      <w:r w:rsidR="00D34E4A">
        <w:br/>
      </w:r>
    </w:p>
    <w:p w:rsidR="00D373A6" w:rsidRPr="00EE651E" w:rsidRDefault="00D373A6" w:rsidP="00D373A6">
      <w:pPr>
        <w:spacing w:line="240" w:lineRule="auto"/>
        <w:rPr>
          <w:rFonts w:ascii="Times New Roman" w:hAnsi="Times New Roman" w:cs="Times New Roman"/>
          <w:sz w:val="24"/>
          <w:szCs w:val="24"/>
        </w:rPr>
      </w:pPr>
      <w:r w:rsidRPr="00EE651E">
        <w:rPr>
          <w:rFonts w:ascii="Times New Roman" w:hAnsi="Times New Roman" w:cs="Times New Roman"/>
          <w:sz w:val="24"/>
          <w:szCs w:val="24"/>
        </w:rPr>
        <w:t xml:space="preserve">MD-715’s root cause analyses require a thorough assessment of the appropriateness of any policy, practice, procedure, or condition that may lead to a negative correlation with race, national origin, sex, or disability.  Typically, we review the statistical and applicant flow data to examine which particular groups cannot reach the highest levels of leadership in an organization, despite their presence in positions that comprise the feeder pool. In particular, low participation for a group in any of the senior grades (GS 13 and above) compared to the participation rate for the total workforce in these grades is a trigger. Low participation for a group in the SES is also compared to their participation rate in the permanent workforce. </w:t>
      </w:r>
    </w:p>
    <w:p w:rsidR="00D373A6" w:rsidRPr="00EE651E" w:rsidRDefault="00D373A6" w:rsidP="00D373A6">
      <w:pPr>
        <w:spacing w:line="240" w:lineRule="auto"/>
        <w:rPr>
          <w:rFonts w:ascii="Times New Roman" w:hAnsi="Times New Roman" w:cs="Times New Roman"/>
          <w:color w:val="000000"/>
          <w:sz w:val="24"/>
          <w:szCs w:val="24"/>
        </w:rPr>
      </w:pPr>
      <w:r w:rsidRPr="00EE651E">
        <w:rPr>
          <w:rFonts w:ascii="Times New Roman" w:hAnsi="Times New Roman" w:cs="Times New Roman"/>
          <w:sz w:val="24"/>
          <w:szCs w:val="24"/>
        </w:rPr>
        <w:t xml:space="preserve">Furthermore, EEOC instructs agencies to identify situations where </w:t>
      </w:r>
      <w:r w:rsidRPr="00EE651E">
        <w:rPr>
          <w:rFonts w:ascii="Times New Roman" w:hAnsi="Times New Roman" w:cs="Times New Roman"/>
          <w:color w:val="000000"/>
          <w:sz w:val="24"/>
          <w:szCs w:val="24"/>
        </w:rPr>
        <w:t xml:space="preserve">the participation rate for a group occupying a higher level position is lower than the corresponding participation rate in the lower level feeder pool for that position, the agency should review its merit promotion processes and may also need to review related processes, such as awards programs, for barriers affecting the group's advancement to the next level. </w:t>
      </w:r>
      <w:r w:rsidRPr="00EE651E">
        <w:rPr>
          <w:rFonts w:ascii="Times New Roman" w:hAnsi="Times New Roman" w:cs="Times New Roman"/>
          <w:sz w:val="24"/>
          <w:szCs w:val="24"/>
        </w:rPr>
        <w:t xml:space="preserve">For additional information, please see Workforce Tables A/B 1, Occupational Groups Tables A/B 3-1 and A/B 3-2, Grades Tables A/B 4-1, Internal Selections to Senior Grades Tables A/B 11, and Awards and Recognition Tables A/B 13. Analysis on wage grade employees was not conducted at this time, however data on this group is available on Table A/B 5-1 and A/B 5-2.  </w:t>
      </w:r>
      <w:r w:rsidRPr="00EE651E">
        <w:rPr>
          <w:rFonts w:ascii="Times New Roman" w:hAnsi="Times New Roman" w:cs="Times New Roman"/>
          <w:color w:val="000000"/>
          <w:sz w:val="24"/>
          <w:szCs w:val="24"/>
        </w:rPr>
        <w:t>The following patterns of lower than expected participation rates were identified:</w:t>
      </w:r>
    </w:p>
    <w:tbl>
      <w:tblPr>
        <w:tblStyle w:val="TableGrid"/>
        <w:tblW w:w="0" w:type="auto"/>
        <w:tblLook w:val="04A0" w:firstRow="1" w:lastRow="0" w:firstColumn="1" w:lastColumn="0" w:noHBand="0" w:noVBand="1"/>
      </w:tblPr>
      <w:tblGrid>
        <w:gridCol w:w="2268"/>
        <w:gridCol w:w="6588"/>
      </w:tblGrid>
      <w:tr w:rsidR="00D373A6" w:rsidRPr="00EE651E" w:rsidTr="009E4D83">
        <w:trPr>
          <w:tblHeader/>
        </w:trPr>
        <w:tc>
          <w:tcPr>
            <w:tcW w:w="2268" w:type="dxa"/>
          </w:tcPr>
          <w:p w:rsidR="00D373A6" w:rsidRPr="00873D07" w:rsidRDefault="00D373A6" w:rsidP="009E4D83">
            <w:pPr>
              <w:jc w:val="center"/>
              <w:rPr>
                <w:rFonts w:ascii="Times New Roman" w:hAnsi="Times New Roman"/>
                <w:b/>
              </w:rPr>
            </w:pPr>
            <w:r w:rsidRPr="00873D07">
              <w:rPr>
                <w:rFonts w:ascii="Times New Roman" w:hAnsi="Times New Roman"/>
                <w:b/>
              </w:rPr>
              <w:t>Benchmark or Comparison Figure(s)</w:t>
            </w:r>
          </w:p>
        </w:tc>
        <w:tc>
          <w:tcPr>
            <w:tcW w:w="6588" w:type="dxa"/>
          </w:tcPr>
          <w:p w:rsidR="00D373A6" w:rsidRPr="00873D07" w:rsidRDefault="00D373A6" w:rsidP="009E4D83">
            <w:pPr>
              <w:jc w:val="center"/>
              <w:rPr>
                <w:rFonts w:ascii="Times New Roman" w:hAnsi="Times New Roman"/>
                <w:b/>
              </w:rPr>
            </w:pPr>
            <w:r w:rsidRPr="00873D07">
              <w:rPr>
                <w:rFonts w:ascii="Times New Roman" w:hAnsi="Times New Roman"/>
                <w:b/>
              </w:rPr>
              <w:t>Findings</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Males:</w:t>
            </w:r>
          </w:p>
          <w:p w:rsidR="00D373A6" w:rsidRPr="00EE651E" w:rsidRDefault="00D373A6" w:rsidP="009B3912">
            <w:pPr>
              <w:pStyle w:val="ListParagraph"/>
              <w:numPr>
                <w:ilvl w:val="0"/>
                <w:numId w:val="25"/>
              </w:numPr>
              <w:spacing w:after="200"/>
              <w:ind w:left="360"/>
              <w:rPr>
                <w:color w:val="000000"/>
              </w:rPr>
            </w:pPr>
            <w:r>
              <w:rPr>
                <w:color w:val="000000"/>
              </w:rPr>
              <w:t>41.7</w:t>
            </w:r>
            <w:r w:rsidRPr="00EE651E">
              <w:rPr>
                <w:color w:val="000000"/>
              </w:rPr>
              <w:t xml:space="preserve">% of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36.8% of the NIH permanent total workforce, and </w:t>
            </w:r>
          </w:p>
          <w:p w:rsidR="00D373A6" w:rsidRPr="00873D07" w:rsidRDefault="00D373A6" w:rsidP="009B3912">
            <w:pPr>
              <w:pStyle w:val="ListParagraph"/>
              <w:numPr>
                <w:ilvl w:val="0"/>
                <w:numId w:val="25"/>
              </w:numPr>
              <w:spacing w:after="200"/>
              <w:ind w:left="360"/>
              <w:rPr>
                <w:color w:val="000000"/>
              </w:rPr>
            </w:pPr>
            <w:r w:rsidRPr="00EE651E">
              <w:rPr>
                <w:color w:val="000000"/>
              </w:rPr>
              <w:t xml:space="preserve">57.2% of the NIH temporary workforce </w:t>
            </w:r>
            <w:r>
              <w:rPr>
                <w:color w:val="000000"/>
              </w:rPr>
              <w:br/>
            </w:r>
          </w:p>
        </w:tc>
        <w:tc>
          <w:tcPr>
            <w:tcW w:w="6588" w:type="dxa"/>
          </w:tcPr>
          <w:p w:rsidR="00D373A6" w:rsidRPr="00EE651E" w:rsidRDefault="00D373A6" w:rsidP="009B3912">
            <w:pPr>
              <w:pStyle w:val="ListParagraph"/>
              <w:numPr>
                <w:ilvl w:val="0"/>
                <w:numId w:val="25"/>
              </w:numPr>
              <w:spacing w:after="200"/>
              <w:rPr>
                <w:color w:val="000000"/>
              </w:rPr>
            </w:pPr>
            <w:r>
              <w:rPr>
                <w:color w:val="000000"/>
              </w:rPr>
              <w:t>Males have l</w:t>
            </w:r>
            <w:r w:rsidRPr="00EE651E">
              <w:rPr>
                <w:color w:val="000000"/>
              </w:rPr>
              <w:t>ower than expected participation in GS 13 (33.1%)</w:t>
            </w:r>
            <w:r>
              <w:rPr>
                <w:color w:val="000000"/>
              </w:rPr>
              <w:t xml:space="preserve"> as compared to the total NIH workforce</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Permanent internal selections for males are lower than expected for GS 13, </w:t>
            </w:r>
            <w:r>
              <w:rPr>
                <w:color w:val="000000"/>
              </w:rPr>
              <w:t xml:space="preserve">GS </w:t>
            </w:r>
            <w:r w:rsidRPr="00EE651E">
              <w:rPr>
                <w:color w:val="000000"/>
              </w:rPr>
              <w:t>14, and SES pay plans (31.6%, 32.8%, and 0</w:t>
            </w:r>
            <w:r>
              <w:rPr>
                <w:color w:val="000000"/>
              </w:rPr>
              <w:t>.0</w:t>
            </w:r>
            <w:r w:rsidRPr="00EE651E">
              <w:rPr>
                <w:color w:val="000000"/>
              </w:rPr>
              <w:t>% respectively)</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Males have lower than expected participation in the permanent </w:t>
            </w:r>
            <w:r>
              <w:rPr>
                <w:color w:val="000000"/>
              </w:rPr>
              <w:t xml:space="preserve">Other Officials and </w:t>
            </w:r>
            <w:r w:rsidRPr="00EE651E">
              <w:rPr>
                <w:color w:val="000000"/>
              </w:rPr>
              <w:t>Manager</w:t>
            </w:r>
            <w:r>
              <w:rPr>
                <w:color w:val="000000"/>
              </w:rPr>
              <w:t>s (non-supervisory)</w:t>
            </w:r>
            <w:r w:rsidRPr="00EE651E">
              <w:rPr>
                <w:color w:val="000000"/>
              </w:rPr>
              <w:t xml:space="preserve"> category (25.6%)</w:t>
            </w:r>
            <w:r>
              <w:rPr>
                <w:color w:val="000000"/>
              </w:rPr>
              <w:t>.</w:t>
            </w:r>
          </w:p>
          <w:p w:rsidR="00D373A6" w:rsidRPr="00A11415" w:rsidRDefault="00D373A6" w:rsidP="009B3912">
            <w:pPr>
              <w:pStyle w:val="ListParagraph"/>
              <w:numPr>
                <w:ilvl w:val="0"/>
                <w:numId w:val="25"/>
              </w:numPr>
              <w:spacing w:after="200"/>
            </w:pPr>
            <w:r w:rsidRPr="00EE651E">
              <w:rPr>
                <w:color w:val="000000"/>
              </w:rPr>
              <w:t>Males received</w:t>
            </w:r>
            <w:r>
              <w:rPr>
                <w:color w:val="000000"/>
              </w:rPr>
              <w:t xml:space="preserve"> 41.0% of all awards (cash awards, time off awards, and Quality Step Increases) distributed,</w:t>
            </w:r>
            <w:r w:rsidRPr="00EE651E">
              <w:rPr>
                <w:color w:val="000000"/>
              </w:rPr>
              <w:t xml:space="preserve"> </w:t>
            </w:r>
            <w:r>
              <w:rPr>
                <w:color w:val="000000"/>
              </w:rPr>
              <w:t xml:space="preserve">which is comparable to </w:t>
            </w:r>
            <w:r w:rsidRPr="00EE651E">
              <w:rPr>
                <w:color w:val="000000"/>
              </w:rPr>
              <w:t xml:space="preserve">their participation in the </w:t>
            </w:r>
            <w:r>
              <w:rPr>
                <w:color w:val="000000"/>
              </w:rPr>
              <w:t xml:space="preserve">total </w:t>
            </w:r>
            <w:r w:rsidRPr="00EE651E">
              <w:rPr>
                <w:color w:val="000000"/>
              </w:rPr>
              <w:t>NIH workforce</w:t>
            </w:r>
            <w:r>
              <w:rPr>
                <w:color w:val="000000"/>
              </w:rPr>
              <w:t>.</w:t>
            </w:r>
            <w:r w:rsidRPr="00EE651E">
              <w:rPr>
                <w:color w:val="000000"/>
              </w:rPr>
              <w:t xml:space="preserve"> </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Females: </w:t>
            </w:r>
          </w:p>
          <w:p w:rsidR="00D373A6" w:rsidRPr="00EE651E" w:rsidRDefault="00D373A6" w:rsidP="009B3912">
            <w:pPr>
              <w:pStyle w:val="ListParagraph"/>
              <w:numPr>
                <w:ilvl w:val="0"/>
                <w:numId w:val="27"/>
              </w:numPr>
              <w:spacing w:after="200"/>
              <w:rPr>
                <w:color w:val="000000"/>
              </w:rPr>
            </w:pPr>
            <w:r>
              <w:rPr>
                <w:color w:val="000000"/>
              </w:rPr>
              <w:t>58.3</w:t>
            </w:r>
            <w:r w:rsidRPr="00EE651E">
              <w:rPr>
                <w:color w:val="000000"/>
              </w:rPr>
              <w:t>% of the total NIH workforce</w:t>
            </w:r>
          </w:p>
          <w:p w:rsidR="00D373A6" w:rsidRPr="00EE651E" w:rsidRDefault="00D373A6" w:rsidP="009B3912">
            <w:pPr>
              <w:pStyle w:val="ListParagraph"/>
              <w:numPr>
                <w:ilvl w:val="0"/>
                <w:numId w:val="27"/>
              </w:numPr>
              <w:spacing w:after="200"/>
              <w:rPr>
                <w:color w:val="000000"/>
              </w:rPr>
            </w:pPr>
            <w:r w:rsidRPr="00EE651E">
              <w:rPr>
                <w:color w:val="000000"/>
              </w:rPr>
              <w:t>63.2% of the NIH permanent total workforce, and</w:t>
            </w:r>
          </w:p>
          <w:p w:rsidR="00D373A6" w:rsidRPr="00145D40" w:rsidRDefault="00D373A6" w:rsidP="009B3912">
            <w:pPr>
              <w:pStyle w:val="ListParagraph"/>
              <w:numPr>
                <w:ilvl w:val="0"/>
                <w:numId w:val="27"/>
              </w:numPr>
              <w:spacing w:after="200"/>
              <w:rPr>
                <w:color w:val="000000"/>
              </w:rPr>
            </w:pPr>
            <w:r w:rsidRPr="00EE651E">
              <w:rPr>
                <w:color w:val="000000"/>
              </w:rPr>
              <w:lastRenderedPageBreak/>
              <w:t>42.8% of the NIH temporary total workforce</w:t>
            </w:r>
            <w:r>
              <w:rPr>
                <w:color w:val="000000"/>
              </w:rPr>
              <w:br/>
            </w:r>
          </w:p>
        </w:tc>
        <w:tc>
          <w:tcPr>
            <w:tcW w:w="6588" w:type="dxa"/>
          </w:tcPr>
          <w:p w:rsidR="00D373A6" w:rsidRPr="00EE651E" w:rsidRDefault="00D373A6" w:rsidP="009B3912">
            <w:pPr>
              <w:pStyle w:val="ListParagraph"/>
              <w:numPr>
                <w:ilvl w:val="0"/>
                <w:numId w:val="25"/>
              </w:numPr>
              <w:spacing w:after="200"/>
              <w:rPr>
                <w:color w:val="000000"/>
              </w:rPr>
            </w:pPr>
            <w:r>
              <w:rPr>
                <w:color w:val="000000"/>
              </w:rPr>
              <w:lastRenderedPageBreak/>
              <w:t>Female p</w:t>
            </w:r>
            <w:r w:rsidRPr="00EE651E">
              <w:rPr>
                <w:color w:val="000000"/>
              </w:rPr>
              <w:t>articipation at GS 14 is lower than the corresponding rate of the GS 13</w:t>
            </w:r>
            <w:r>
              <w:rPr>
                <w:color w:val="000000"/>
              </w:rPr>
              <w:t xml:space="preserve"> group (66.9% as compared to 59.2%)</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Females have lower than expected participation in the GS 15, AD, and RS pay plans</w:t>
            </w:r>
            <w:r>
              <w:rPr>
                <w:color w:val="000000"/>
              </w:rPr>
              <w:t xml:space="preserve"> (50.3%, 41.4%, and 23.6% respectively).</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Permanent internal selections for females are lower than expected for GS 15 (57.6%).  </w:t>
            </w:r>
          </w:p>
          <w:p w:rsidR="00D373A6" w:rsidRPr="00EE651E" w:rsidRDefault="00D373A6" w:rsidP="009B3912">
            <w:pPr>
              <w:pStyle w:val="ListParagraph"/>
              <w:numPr>
                <w:ilvl w:val="0"/>
                <w:numId w:val="25"/>
              </w:numPr>
              <w:spacing w:after="200"/>
              <w:rPr>
                <w:color w:val="000000"/>
              </w:rPr>
            </w:pPr>
            <w:r w:rsidRPr="00EE651E">
              <w:rPr>
                <w:color w:val="000000"/>
              </w:rPr>
              <w:lastRenderedPageBreak/>
              <w:t>Females have l</w:t>
            </w:r>
            <w:r>
              <w:rPr>
                <w:color w:val="000000"/>
              </w:rPr>
              <w:t>ess</w:t>
            </w:r>
            <w:r w:rsidRPr="00EE651E">
              <w:rPr>
                <w:color w:val="000000"/>
              </w:rPr>
              <w:t xml:space="preserve"> than expected </w:t>
            </w:r>
            <w:r>
              <w:rPr>
                <w:color w:val="000000"/>
              </w:rPr>
              <w:t>representation</w:t>
            </w:r>
            <w:r w:rsidRPr="00EE651E">
              <w:rPr>
                <w:color w:val="000000"/>
              </w:rPr>
              <w:t xml:space="preserve"> </w:t>
            </w:r>
            <w:r>
              <w:rPr>
                <w:color w:val="000000"/>
              </w:rPr>
              <w:t>in Executive/Senior Level and First Level Supervisory (GS 12 and below) positions (48.9% and 37.18% respectively).</w:t>
            </w:r>
          </w:p>
          <w:p w:rsidR="00D373A6" w:rsidRPr="00EE651E" w:rsidRDefault="00D373A6" w:rsidP="009B3912">
            <w:pPr>
              <w:pStyle w:val="ListParagraph"/>
              <w:numPr>
                <w:ilvl w:val="0"/>
                <w:numId w:val="25"/>
              </w:numPr>
              <w:spacing w:after="200"/>
              <w:rPr>
                <w:color w:val="000000"/>
              </w:rPr>
            </w:pPr>
            <w:r w:rsidRPr="00EE651E">
              <w:rPr>
                <w:color w:val="000000"/>
              </w:rPr>
              <w:t>Females received</w:t>
            </w:r>
            <w:r>
              <w:rPr>
                <w:color w:val="000000"/>
              </w:rPr>
              <w:t xml:space="preserve"> 59.0% of all awards distributed, which is comparable</w:t>
            </w:r>
            <w:r w:rsidRPr="00EE651E">
              <w:rPr>
                <w:color w:val="000000"/>
              </w:rPr>
              <w:t xml:space="preserve"> to their participation in the </w:t>
            </w:r>
            <w:r>
              <w:rPr>
                <w:color w:val="000000"/>
              </w:rPr>
              <w:t xml:space="preserve">total </w:t>
            </w:r>
            <w:r w:rsidRPr="00EE651E">
              <w:rPr>
                <w:color w:val="000000"/>
              </w:rPr>
              <w:t>NIH workforce (</w:t>
            </w:r>
            <w:r>
              <w:rPr>
                <w:color w:val="000000"/>
              </w:rPr>
              <w:t>59.0%).</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lastRenderedPageBreak/>
              <w:t>Hispanic males</w:t>
            </w:r>
          </w:p>
          <w:p w:rsidR="00D373A6" w:rsidRPr="00EE651E" w:rsidRDefault="00D373A6" w:rsidP="009B3912">
            <w:pPr>
              <w:pStyle w:val="ListParagraph"/>
              <w:numPr>
                <w:ilvl w:val="0"/>
                <w:numId w:val="28"/>
              </w:numPr>
              <w:spacing w:after="200"/>
              <w:rPr>
                <w:color w:val="000000"/>
              </w:rPr>
            </w:pPr>
            <w:r w:rsidRPr="00EE651E">
              <w:rPr>
                <w:color w:val="000000"/>
              </w:rPr>
              <w:t xml:space="preserve">1.3% in the total NIH workforce, </w:t>
            </w:r>
          </w:p>
          <w:p w:rsidR="00D373A6" w:rsidRPr="00EE651E" w:rsidRDefault="00D373A6" w:rsidP="009B3912">
            <w:pPr>
              <w:pStyle w:val="ListParagraph"/>
              <w:numPr>
                <w:ilvl w:val="0"/>
                <w:numId w:val="28"/>
              </w:numPr>
              <w:spacing w:after="200"/>
              <w:rPr>
                <w:color w:val="000000"/>
              </w:rPr>
            </w:pPr>
            <w:r w:rsidRPr="00EE651E">
              <w:rPr>
                <w:color w:val="000000"/>
              </w:rPr>
              <w:t>1.2% in the permanent NIH workforce, and</w:t>
            </w:r>
          </w:p>
          <w:p w:rsidR="00D373A6" w:rsidRPr="00EE651E" w:rsidRDefault="00D373A6" w:rsidP="009B3912">
            <w:pPr>
              <w:pStyle w:val="ListParagraph"/>
              <w:numPr>
                <w:ilvl w:val="0"/>
                <w:numId w:val="28"/>
              </w:numPr>
              <w:spacing w:after="200"/>
              <w:rPr>
                <w:color w:val="000000"/>
              </w:rPr>
            </w:pPr>
            <w:r w:rsidRPr="00EE651E">
              <w:rPr>
                <w:color w:val="000000"/>
              </w:rPr>
              <w:t>1.7% in the temporary NIH workforce</w:t>
            </w:r>
          </w:p>
          <w:p w:rsidR="00D373A6" w:rsidRPr="00EE651E" w:rsidRDefault="00D373A6" w:rsidP="009E4D83">
            <w:pPr>
              <w:rPr>
                <w:rFonts w:ascii="Times New Roman" w:hAnsi="Times New Roman"/>
              </w:rPr>
            </w:pP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 xml:space="preserve">Participation at </w:t>
            </w:r>
            <w:r>
              <w:rPr>
                <w:color w:val="000000"/>
              </w:rPr>
              <w:t>the SES level (0.0</w:t>
            </w:r>
            <w:r w:rsidRPr="00EE651E">
              <w:rPr>
                <w:color w:val="000000"/>
              </w:rPr>
              <w:t>%</w:t>
            </w:r>
            <w:r>
              <w:rPr>
                <w:color w:val="000000"/>
              </w:rPr>
              <w:t>)</w:t>
            </w:r>
            <w:r w:rsidRPr="00EE651E">
              <w:rPr>
                <w:color w:val="000000"/>
              </w:rPr>
              <w:t xml:space="preserve"> is lower than the corresponding rate of the GS </w:t>
            </w:r>
            <w:r>
              <w:rPr>
                <w:color w:val="000000"/>
              </w:rPr>
              <w:t>15 group (</w:t>
            </w:r>
            <w:r w:rsidRPr="00EE651E">
              <w:rPr>
                <w:color w:val="000000"/>
              </w:rPr>
              <w:t>1.</w:t>
            </w:r>
            <w:r>
              <w:rPr>
                <w:color w:val="000000"/>
              </w:rPr>
              <w:t>8</w:t>
            </w:r>
            <w:r w:rsidRPr="00EE651E">
              <w:rPr>
                <w:color w:val="000000"/>
              </w:rPr>
              <w:t>%</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Hispanic males have lower than expected participation </w:t>
            </w:r>
            <w:r>
              <w:rPr>
                <w:color w:val="000000"/>
              </w:rPr>
              <w:t>rates</w:t>
            </w:r>
            <w:r w:rsidRPr="00EE651E">
              <w:rPr>
                <w:color w:val="000000"/>
              </w:rPr>
              <w:t xml:space="preserve"> in the SES and RS pay plans</w:t>
            </w:r>
            <w:r>
              <w:rPr>
                <w:color w:val="000000"/>
              </w:rPr>
              <w:t xml:space="preserve"> (0.0% and 0.0% respectively)</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Hispanic males are lower than expected for GS 13, 14, and SES (0.8%, 0.0%, and 0.0% respectively)</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Hispanic males have lower than expected participation in all manager categories except </w:t>
            </w:r>
            <w:r>
              <w:rPr>
                <w:color w:val="000000"/>
              </w:rPr>
              <w:t>Executive/Senior Level</w:t>
            </w:r>
            <w:r w:rsidRPr="00EE651E">
              <w:rPr>
                <w:color w:val="000000"/>
              </w:rPr>
              <w:t xml:space="preserve"> </w:t>
            </w:r>
            <w:r>
              <w:rPr>
                <w:color w:val="000000"/>
              </w:rPr>
              <w:t>(</w:t>
            </w:r>
            <w:r w:rsidRPr="00EE651E">
              <w:rPr>
                <w:color w:val="000000"/>
              </w:rPr>
              <w:t>SES and GS-15</w:t>
            </w:r>
            <w:r>
              <w:rPr>
                <w:color w:val="000000"/>
              </w:rPr>
              <w:t>)</w:t>
            </w:r>
            <w:r w:rsidRPr="00EE651E">
              <w:rPr>
                <w:color w:val="000000"/>
              </w:rPr>
              <w:t xml:space="preserve"> Supervisors</w:t>
            </w:r>
            <w:r>
              <w:rPr>
                <w:color w:val="000000"/>
              </w:rPr>
              <w:t xml:space="preserve"> (1.6%); including Mid-level (</w:t>
            </w:r>
            <w:r w:rsidRPr="00EE651E">
              <w:rPr>
                <w:color w:val="000000"/>
              </w:rPr>
              <w:t>GS 13 and 14</w:t>
            </w:r>
            <w:r>
              <w:rPr>
                <w:color w:val="000000"/>
              </w:rPr>
              <w:t>)</w:t>
            </w:r>
            <w:r w:rsidRPr="00EE651E">
              <w:rPr>
                <w:color w:val="000000"/>
              </w:rPr>
              <w:t xml:space="preserve"> managers</w:t>
            </w:r>
            <w:r>
              <w:rPr>
                <w:color w:val="000000"/>
              </w:rPr>
              <w:t xml:space="preserve"> (</w:t>
            </w:r>
            <w:r w:rsidRPr="00EE651E">
              <w:rPr>
                <w:color w:val="000000"/>
              </w:rPr>
              <w:t>0.</w:t>
            </w:r>
            <w:r>
              <w:rPr>
                <w:color w:val="000000"/>
              </w:rPr>
              <w:t>3</w:t>
            </w:r>
            <w:r w:rsidRPr="00EE651E">
              <w:rPr>
                <w:color w:val="000000"/>
              </w:rPr>
              <w:t>%</w:t>
            </w:r>
            <w:r>
              <w:rPr>
                <w:color w:val="000000"/>
              </w:rPr>
              <w:t>)</w:t>
            </w:r>
            <w:r w:rsidRPr="00EE651E">
              <w:rPr>
                <w:color w:val="000000"/>
              </w:rPr>
              <w:t>, GS 12 and below managers</w:t>
            </w:r>
            <w:r>
              <w:rPr>
                <w:color w:val="000000"/>
              </w:rPr>
              <w:t xml:space="preserve"> (</w:t>
            </w:r>
            <w:r w:rsidRPr="00EE651E">
              <w:rPr>
                <w:color w:val="000000"/>
              </w:rPr>
              <w:t>0.6%</w:t>
            </w:r>
            <w:r>
              <w:rPr>
                <w:color w:val="000000"/>
              </w:rPr>
              <w:t>)</w:t>
            </w:r>
            <w:r w:rsidRPr="00EE651E">
              <w:rPr>
                <w:color w:val="000000"/>
              </w:rPr>
              <w:t xml:space="preserve">, and </w:t>
            </w:r>
            <w:r>
              <w:rPr>
                <w:color w:val="000000"/>
              </w:rPr>
              <w:t>Other Officials and Managers (</w:t>
            </w:r>
            <w:r w:rsidRPr="00EE651E">
              <w:rPr>
                <w:color w:val="000000"/>
              </w:rPr>
              <w:t xml:space="preserve">non-supervisory) </w:t>
            </w:r>
            <w:r>
              <w:rPr>
                <w:color w:val="000000"/>
              </w:rPr>
              <w:t>(</w:t>
            </w:r>
            <w:r w:rsidRPr="00EE651E">
              <w:rPr>
                <w:color w:val="000000"/>
              </w:rPr>
              <w:t>0.9%</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Hispanic males received</w:t>
            </w:r>
            <w:r>
              <w:rPr>
                <w:color w:val="000000"/>
              </w:rPr>
              <w:t xml:space="preserve"> 1.2% of all awards distributed, which is comparable</w:t>
            </w:r>
            <w:r w:rsidRPr="00EE651E">
              <w:rPr>
                <w:color w:val="000000"/>
              </w:rPr>
              <w:t xml:space="preserve"> </w:t>
            </w:r>
            <w:r>
              <w:rPr>
                <w:color w:val="000000"/>
              </w:rPr>
              <w:t xml:space="preserve">to </w:t>
            </w:r>
            <w:r w:rsidRPr="00EE651E">
              <w:rPr>
                <w:color w:val="000000"/>
              </w:rPr>
              <w:t>their participation in the</w:t>
            </w:r>
            <w:r>
              <w:rPr>
                <w:color w:val="000000"/>
              </w:rPr>
              <w:t xml:space="preserve"> total</w:t>
            </w:r>
            <w:r w:rsidRPr="00EE651E">
              <w:rPr>
                <w:color w:val="000000"/>
              </w:rPr>
              <w:t xml:space="preserve"> NIH workforce (1.2%</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Hispanic females: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1.7%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1.8% in the permanent NIH workforce, and</w:t>
            </w:r>
          </w:p>
          <w:p w:rsidR="00D373A6" w:rsidRPr="00145D40" w:rsidRDefault="00D373A6" w:rsidP="009B3912">
            <w:pPr>
              <w:pStyle w:val="ListParagraph"/>
              <w:numPr>
                <w:ilvl w:val="0"/>
                <w:numId w:val="25"/>
              </w:numPr>
              <w:spacing w:after="200"/>
              <w:ind w:left="360"/>
              <w:rPr>
                <w:color w:val="000000"/>
              </w:rPr>
            </w:pPr>
            <w:r w:rsidRPr="00EE651E">
              <w:rPr>
                <w:color w:val="000000"/>
              </w:rPr>
              <w:t>1.3% in the temporary NIH workforce</w:t>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 xml:space="preserve">Participation at GS 14 </w:t>
            </w:r>
            <w:r>
              <w:rPr>
                <w:color w:val="000000"/>
              </w:rPr>
              <w:t>(</w:t>
            </w:r>
            <w:r w:rsidRPr="00EE651E">
              <w:rPr>
                <w:color w:val="000000"/>
              </w:rPr>
              <w:t>1.</w:t>
            </w:r>
            <w:r>
              <w:rPr>
                <w:color w:val="000000"/>
              </w:rPr>
              <w:t>4</w:t>
            </w:r>
            <w:r w:rsidRPr="00EE651E">
              <w:rPr>
                <w:color w:val="000000"/>
              </w:rPr>
              <w:t>%</w:t>
            </w:r>
            <w:r>
              <w:rPr>
                <w:color w:val="000000"/>
              </w:rPr>
              <w:t>)</w:t>
            </w:r>
            <w:r w:rsidRPr="00EE651E">
              <w:rPr>
                <w:color w:val="000000"/>
              </w:rPr>
              <w:t xml:space="preserve"> is lower than the corresponding rate of the GS 13 </w:t>
            </w:r>
            <w:r>
              <w:rPr>
                <w:color w:val="000000"/>
              </w:rPr>
              <w:t>group</w:t>
            </w:r>
            <w:r w:rsidRPr="00EE651E">
              <w:rPr>
                <w:color w:val="000000"/>
              </w:rPr>
              <w:t xml:space="preserve"> </w:t>
            </w:r>
            <w:r>
              <w:rPr>
                <w:color w:val="000000"/>
              </w:rPr>
              <w:t>(</w:t>
            </w:r>
            <w:r w:rsidRPr="00EE651E">
              <w:rPr>
                <w:color w:val="000000"/>
              </w:rPr>
              <w:t>1.9%</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Hispanic females have lower than expected participation in GS 14 (1.4%)</w:t>
            </w:r>
            <w:r>
              <w:rPr>
                <w:color w:val="000000"/>
              </w:rPr>
              <w:t>, GS 15 (1.4%),</w:t>
            </w:r>
            <w:r w:rsidRPr="00EE651E">
              <w:rPr>
                <w:color w:val="000000"/>
              </w:rPr>
              <w:t xml:space="preserve"> SES</w:t>
            </w:r>
            <w:r>
              <w:rPr>
                <w:color w:val="000000"/>
              </w:rPr>
              <w:t xml:space="preserve"> (0.0%)</w:t>
            </w:r>
            <w:r w:rsidRPr="00EE651E">
              <w:rPr>
                <w:color w:val="000000"/>
              </w:rPr>
              <w:t>, RS</w:t>
            </w:r>
            <w:r>
              <w:rPr>
                <w:color w:val="000000"/>
              </w:rPr>
              <w:t>(1.1%)</w:t>
            </w:r>
            <w:r w:rsidRPr="00EE651E">
              <w:rPr>
                <w:color w:val="000000"/>
              </w:rPr>
              <w:t xml:space="preserve">, and AD </w:t>
            </w:r>
            <w:r>
              <w:rPr>
                <w:color w:val="000000"/>
              </w:rPr>
              <w:t xml:space="preserve">(1.3%) </w:t>
            </w:r>
            <w:r w:rsidRPr="00EE651E">
              <w:rPr>
                <w:color w:val="000000"/>
              </w:rPr>
              <w:t xml:space="preserve">pay plans. </w:t>
            </w:r>
          </w:p>
          <w:p w:rsidR="00D373A6" w:rsidRPr="00EE651E" w:rsidRDefault="00D373A6" w:rsidP="009B3912">
            <w:pPr>
              <w:pStyle w:val="ListParagraph"/>
              <w:numPr>
                <w:ilvl w:val="0"/>
                <w:numId w:val="25"/>
              </w:numPr>
              <w:spacing w:after="200"/>
              <w:rPr>
                <w:color w:val="000000"/>
              </w:rPr>
            </w:pPr>
            <w:r w:rsidRPr="00EE651E">
              <w:rPr>
                <w:color w:val="000000"/>
              </w:rPr>
              <w:t xml:space="preserve">Permanent internal selections for Hispanic females are lower than expected for GS 15 and SES (1.2% and 0.0% respectively.) </w:t>
            </w:r>
          </w:p>
          <w:p w:rsidR="00D373A6" w:rsidRPr="00EE651E" w:rsidRDefault="00D373A6" w:rsidP="009B3912">
            <w:pPr>
              <w:pStyle w:val="ListParagraph"/>
              <w:numPr>
                <w:ilvl w:val="0"/>
                <w:numId w:val="25"/>
              </w:numPr>
              <w:spacing w:after="200"/>
              <w:rPr>
                <w:color w:val="000000"/>
              </w:rPr>
            </w:pPr>
            <w:r w:rsidRPr="00EE651E">
              <w:rPr>
                <w:color w:val="000000"/>
              </w:rPr>
              <w:t>Hispanic females have lower than expected participation in all manager categories except</w:t>
            </w:r>
            <w:r>
              <w:rPr>
                <w:color w:val="000000"/>
              </w:rPr>
              <w:t xml:space="preserve"> Other Officials and Managers</w:t>
            </w:r>
            <w:r w:rsidRPr="00EE651E">
              <w:rPr>
                <w:color w:val="000000"/>
              </w:rPr>
              <w:t xml:space="preserve"> </w:t>
            </w:r>
            <w:r>
              <w:rPr>
                <w:color w:val="000000"/>
              </w:rPr>
              <w:t>(</w:t>
            </w:r>
            <w:r w:rsidRPr="00EE651E">
              <w:rPr>
                <w:color w:val="000000"/>
              </w:rPr>
              <w:t>non-supervisory</w:t>
            </w:r>
            <w:r>
              <w:rPr>
                <w:color w:val="000000"/>
              </w:rPr>
              <w:t>)(2.5%); including</w:t>
            </w:r>
            <w:r w:rsidRPr="00EE651E">
              <w:rPr>
                <w:color w:val="000000"/>
              </w:rPr>
              <w:t xml:space="preserve"> </w:t>
            </w:r>
            <w:r>
              <w:rPr>
                <w:color w:val="000000"/>
              </w:rPr>
              <w:t>Mid-Level (</w:t>
            </w:r>
            <w:r w:rsidRPr="00EE651E">
              <w:rPr>
                <w:color w:val="000000"/>
              </w:rPr>
              <w:t>GS 13 and 14</w:t>
            </w:r>
            <w:r>
              <w:rPr>
                <w:color w:val="000000"/>
              </w:rPr>
              <w:t>)</w:t>
            </w:r>
            <w:r w:rsidRPr="00EE651E">
              <w:rPr>
                <w:color w:val="000000"/>
              </w:rPr>
              <w:t xml:space="preserve"> managers</w:t>
            </w:r>
            <w:r>
              <w:rPr>
                <w:color w:val="000000"/>
              </w:rPr>
              <w:t xml:space="preserve"> </w:t>
            </w:r>
            <w:r w:rsidRPr="00EE651E">
              <w:rPr>
                <w:color w:val="000000"/>
              </w:rPr>
              <w:t>(1.</w:t>
            </w:r>
            <w:r>
              <w:rPr>
                <w:color w:val="000000"/>
              </w:rPr>
              <w:t>1</w:t>
            </w:r>
            <w:r w:rsidRPr="00EE651E">
              <w:rPr>
                <w:color w:val="000000"/>
              </w:rPr>
              <w:t>%</w:t>
            </w:r>
            <w:r>
              <w:rPr>
                <w:color w:val="000000"/>
              </w:rPr>
              <w:t>)</w:t>
            </w:r>
            <w:r w:rsidRPr="00EE651E">
              <w:rPr>
                <w:color w:val="000000"/>
              </w:rPr>
              <w:t xml:space="preserve">, and </w:t>
            </w:r>
            <w:r>
              <w:rPr>
                <w:color w:val="000000"/>
              </w:rPr>
              <w:t>First Level (</w:t>
            </w:r>
            <w:r w:rsidRPr="00EE651E">
              <w:rPr>
                <w:color w:val="000000"/>
              </w:rPr>
              <w:t>GS 12 and below</w:t>
            </w:r>
            <w:r>
              <w:rPr>
                <w:color w:val="000000"/>
              </w:rPr>
              <w:t>)</w:t>
            </w:r>
            <w:r w:rsidRPr="00EE651E">
              <w:rPr>
                <w:color w:val="000000"/>
              </w:rPr>
              <w:t xml:space="preserve"> managers</w:t>
            </w:r>
            <w:r>
              <w:rPr>
                <w:color w:val="000000"/>
              </w:rPr>
              <w:t xml:space="preserve"> (1.4%)</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Hispanic females received</w:t>
            </w:r>
            <w:r>
              <w:rPr>
                <w:color w:val="000000"/>
              </w:rPr>
              <w:t xml:space="preserve"> 1.7% of all awards distributed, which is comparable</w:t>
            </w:r>
            <w:r w:rsidRPr="00EE651E">
              <w:rPr>
                <w:color w:val="000000"/>
              </w:rPr>
              <w:t xml:space="preserve"> to their participation in the </w:t>
            </w:r>
            <w:r>
              <w:rPr>
                <w:color w:val="000000"/>
              </w:rPr>
              <w:t xml:space="preserve">total </w:t>
            </w:r>
            <w:r w:rsidRPr="00EE651E">
              <w:rPr>
                <w:color w:val="000000"/>
              </w:rPr>
              <w:t>NIH workforce (1.7</w:t>
            </w:r>
            <w:r>
              <w:rPr>
                <w:color w:val="000000"/>
              </w:rPr>
              <w:t>%</w:t>
            </w:r>
            <w:r w:rsidRPr="00EE651E">
              <w:rPr>
                <w:color w:val="000000"/>
              </w:rPr>
              <w:t>)</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AI/AN males: </w:t>
            </w:r>
          </w:p>
          <w:p w:rsidR="00D373A6" w:rsidRPr="00EE651E" w:rsidRDefault="00D373A6" w:rsidP="009B3912">
            <w:pPr>
              <w:pStyle w:val="ListParagraph"/>
              <w:numPr>
                <w:ilvl w:val="0"/>
                <w:numId w:val="25"/>
              </w:numPr>
              <w:spacing w:after="200"/>
              <w:ind w:left="360"/>
              <w:rPr>
                <w:color w:val="000000"/>
              </w:rPr>
            </w:pPr>
            <w:r w:rsidRPr="00EE651E">
              <w:rPr>
                <w:color w:val="000000"/>
              </w:rPr>
              <w:lastRenderedPageBreak/>
              <w:t xml:space="preserve">0.2%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0.2% in the permanent NIH workforce, and </w:t>
            </w:r>
          </w:p>
          <w:p w:rsidR="00D373A6" w:rsidRPr="00145D40" w:rsidRDefault="00D373A6" w:rsidP="009B3912">
            <w:pPr>
              <w:pStyle w:val="ListParagraph"/>
              <w:numPr>
                <w:ilvl w:val="0"/>
                <w:numId w:val="25"/>
              </w:numPr>
              <w:spacing w:after="200"/>
              <w:ind w:left="360"/>
              <w:rPr>
                <w:color w:val="000000"/>
              </w:rPr>
            </w:pPr>
            <w:r w:rsidRPr="00EE651E">
              <w:rPr>
                <w:color w:val="000000"/>
              </w:rPr>
              <w:t>0.1% in the temporary NIH workforce</w:t>
            </w:r>
            <w:r>
              <w:rPr>
                <w:color w:val="000000"/>
              </w:rPr>
              <w:br/>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lastRenderedPageBreak/>
              <w:t>Participation at GS 15</w:t>
            </w:r>
            <w:r>
              <w:rPr>
                <w:color w:val="000000"/>
              </w:rPr>
              <w:t xml:space="preserve"> (</w:t>
            </w:r>
            <w:r w:rsidRPr="00EE651E">
              <w:rPr>
                <w:color w:val="000000"/>
              </w:rPr>
              <w:t>0.1%</w:t>
            </w:r>
            <w:r>
              <w:rPr>
                <w:color w:val="000000"/>
              </w:rPr>
              <w:t>)</w:t>
            </w:r>
            <w:r w:rsidRPr="00EE651E">
              <w:rPr>
                <w:color w:val="000000"/>
              </w:rPr>
              <w:t xml:space="preserve"> is lower than the </w:t>
            </w:r>
            <w:r w:rsidRPr="00EE651E">
              <w:rPr>
                <w:color w:val="000000"/>
              </w:rPr>
              <w:lastRenderedPageBreak/>
              <w:t xml:space="preserve">corresponding rate of the GS 14 </w:t>
            </w:r>
            <w:r>
              <w:rPr>
                <w:color w:val="000000"/>
              </w:rPr>
              <w:t>group (</w:t>
            </w:r>
            <w:r w:rsidRPr="00EE651E">
              <w:rPr>
                <w:color w:val="000000"/>
              </w:rPr>
              <w:t>0.3%</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AI/AN males have lower than expected participation in GS 15 (0.1%), SES</w:t>
            </w:r>
            <w:r>
              <w:rPr>
                <w:color w:val="000000"/>
              </w:rPr>
              <w:t xml:space="preserve"> (0.0%)</w:t>
            </w:r>
            <w:r w:rsidRPr="00EE651E">
              <w:rPr>
                <w:color w:val="000000"/>
              </w:rPr>
              <w:t>, RS</w:t>
            </w:r>
            <w:r>
              <w:rPr>
                <w:color w:val="000000"/>
              </w:rPr>
              <w:t xml:space="preserve"> (0.0%)</w:t>
            </w:r>
            <w:r w:rsidRPr="00EE651E">
              <w:rPr>
                <w:color w:val="000000"/>
              </w:rPr>
              <w:t>, and AD</w:t>
            </w:r>
            <w:r>
              <w:rPr>
                <w:color w:val="000000"/>
              </w:rPr>
              <w:t xml:space="preserve"> (0.1%)</w:t>
            </w:r>
            <w:r w:rsidRPr="00EE651E">
              <w:rPr>
                <w:color w:val="000000"/>
              </w:rPr>
              <w:t xml:space="preserve"> pay plans.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AI/AN males are lower than expected for GS 13, 15</w:t>
            </w:r>
            <w:r>
              <w:rPr>
                <w:color w:val="000000"/>
              </w:rPr>
              <w:t>,</w:t>
            </w:r>
            <w:r w:rsidRPr="00EE651E">
              <w:rPr>
                <w:color w:val="000000"/>
              </w:rPr>
              <w:t xml:space="preserve"> and SES (0.0%, 0.0% and 0.0% respectively)</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AI/AN males have lower than expected participation in the </w:t>
            </w:r>
            <w:r>
              <w:rPr>
                <w:color w:val="000000"/>
              </w:rPr>
              <w:t>Executive/Senior level (</w:t>
            </w:r>
            <w:r w:rsidRPr="00EE651E">
              <w:rPr>
                <w:color w:val="000000"/>
              </w:rPr>
              <w:t>SES and GS 15</w:t>
            </w:r>
            <w:r>
              <w:rPr>
                <w:color w:val="000000"/>
              </w:rPr>
              <w:t>) supervisory category (0.1</w:t>
            </w:r>
            <w:r w:rsidRPr="00EE651E">
              <w:rPr>
                <w:color w:val="000000"/>
              </w:rPr>
              <w:t>%</w:t>
            </w:r>
            <w:r>
              <w:rPr>
                <w:color w:val="000000"/>
              </w:rPr>
              <w:t>)</w:t>
            </w:r>
            <w:r w:rsidRPr="00EE651E">
              <w:rPr>
                <w:color w:val="000000"/>
              </w:rPr>
              <w:t xml:space="preserve">, </w:t>
            </w:r>
            <w:r>
              <w:rPr>
                <w:color w:val="000000"/>
              </w:rPr>
              <w:t xml:space="preserve">as compared to the total NIH </w:t>
            </w:r>
            <w:r w:rsidRPr="00EE651E">
              <w:rPr>
                <w:color w:val="000000"/>
              </w:rPr>
              <w:t>workforce</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AI/AN males received</w:t>
            </w:r>
            <w:r>
              <w:rPr>
                <w:color w:val="000000"/>
              </w:rPr>
              <w:t xml:space="preserve"> 0.2% of all awards distributed, which is comparable</w:t>
            </w:r>
            <w:r w:rsidRPr="00EE651E">
              <w:rPr>
                <w:color w:val="000000"/>
              </w:rPr>
              <w:t xml:space="preserve"> to their participation in the </w:t>
            </w:r>
            <w:r>
              <w:rPr>
                <w:color w:val="000000"/>
              </w:rPr>
              <w:t xml:space="preserve">total </w:t>
            </w:r>
            <w:r w:rsidRPr="00EE651E">
              <w:rPr>
                <w:color w:val="000000"/>
              </w:rPr>
              <w:t>NIH workforce (</w:t>
            </w:r>
            <w:r>
              <w:rPr>
                <w:color w:val="000000"/>
              </w:rPr>
              <w:t>0.2%).</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lastRenderedPageBreak/>
              <w:t xml:space="preserve">AI/AN females: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0.4%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0.5% in the permanent NIH workforce, and </w:t>
            </w:r>
          </w:p>
          <w:p w:rsidR="00D373A6" w:rsidRPr="00145D40" w:rsidRDefault="00D373A6" w:rsidP="009B3912">
            <w:pPr>
              <w:pStyle w:val="ListParagraph"/>
              <w:numPr>
                <w:ilvl w:val="0"/>
                <w:numId w:val="25"/>
              </w:numPr>
              <w:spacing w:after="200"/>
              <w:ind w:left="360"/>
              <w:rPr>
                <w:color w:val="000000"/>
              </w:rPr>
            </w:pPr>
            <w:r w:rsidRPr="00EE651E">
              <w:rPr>
                <w:color w:val="000000"/>
              </w:rPr>
              <w:t>0.1% in the temporary NIH workforce</w:t>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GS 14</w:t>
            </w:r>
            <w:r>
              <w:rPr>
                <w:color w:val="000000"/>
              </w:rPr>
              <w:t xml:space="preserve"> (</w:t>
            </w:r>
            <w:r w:rsidRPr="00EE651E">
              <w:rPr>
                <w:color w:val="000000"/>
              </w:rPr>
              <w:t>0.2%</w:t>
            </w:r>
            <w:r>
              <w:rPr>
                <w:color w:val="000000"/>
              </w:rPr>
              <w:t>)</w:t>
            </w:r>
            <w:r w:rsidRPr="00EE651E">
              <w:rPr>
                <w:color w:val="000000"/>
              </w:rPr>
              <w:t xml:space="preserve"> is lower than the corresponding rate of the GS 13 </w:t>
            </w:r>
            <w:r>
              <w:rPr>
                <w:color w:val="000000"/>
              </w:rPr>
              <w:t>group (</w:t>
            </w:r>
            <w:r w:rsidRPr="00EE651E">
              <w:rPr>
                <w:color w:val="000000"/>
              </w:rPr>
              <w:t>0.6%</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AI/AN females have lower than expected participation in GS 14 (0.2%), GS 15</w:t>
            </w:r>
            <w:r>
              <w:rPr>
                <w:color w:val="000000"/>
              </w:rPr>
              <w:t xml:space="preserve"> (0.1%)</w:t>
            </w:r>
            <w:r w:rsidRPr="00EE651E">
              <w:rPr>
                <w:color w:val="000000"/>
              </w:rPr>
              <w:t>, SES</w:t>
            </w:r>
            <w:r>
              <w:rPr>
                <w:color w:val="000000"/>
              </w:rPr>
              <w:t xml:space="preserve"> (0.0%)</w:t>
            </w:r>
            <w:r w:rsidRPr="00EE651E">
              <w:rPr>
                <w:color w:val="000000"/>
              </w:rPr>
              <w:t>, RS</w:t>
            </w:r>
            <w:r>
              <w:rPr>
                <w:color w:val="000000"/>
              </w:rPr>
              <w:t xml:space="preserve"> (0.0%)</w:t>
            </w:r>
            <w:r w:rsidRPr="00EE651E">
              <w:rPr>
                <w:color w:val="000000"/>
              </w:rPr>
              <w:t xml:space="preserve">, and AD </w:t>
            </w:r>
            <w:r>
              <w:rPr>
                <w:color w:val="000000"/>
              </w:rPr>
              <w:t xml:space="preserve">(0.1%) </w:t>
            </w:r>
            <w:r w:rsidRPr="00EE651E">
              <w:rPr>
                <w:color w:val="000000"/>
              </w:rPr>
              <w:t xml:space="preserve">pay plans.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AI/AN females are lower than expected for GS 13, 14 and SES (0.0%, 0.0% and 0.0%</w:t>
            </w:r>
            <w:r>
              <w:rPr>
                <w:color w:val="000000"/>
              </w:rPr>
              <w:t>,</w:t>
            </w:r>
            <w:r w:rsidRPr="00EE651E">
              <w:rPr>
                <w:color w:val="000000"/>
              </w:rPr>
              <w:t xml:space="preserve"> respectively)</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AI/AN females have lower than expected participation in </w:t>
            </w:r>
            <w:r>
              <w:rPr>
                <w:color w:val="000000"/>
              </w:rPr>
              <w:t>Executive/Senior Level (</w:t>
            </w:r>
            <w:r w:rsidRPr="00EE651E">
              <w:rPr>
                <w:color w:val="000000"/>
              </w:rPr>
              <w:t>SES and GS 15</w:t>
            </w:r>
            <w:r>
              <w:rPr>
                <w:color w:val="000000"/>
              </w:rPr>
              <w:t>)</w:t>
            </w:r>
            <w:r w:rsidRPr="00EE651E">
              <w:rPr>
                <w:color w:val="000000"/>
              </w:rPr>
              <w:t xml:space="preserve"> managers</w:t>
            </w:r>
            <w:r>
              <w:rPr>
                <w:color w:val="000000"/>
              </w:rPr>
              <w:t xml:space="preserve"> </w:t>
            </w:r>
            <w:r w:rsidRPr="00EE651E">
              <w:rPr>
                <w:color w:val="000000"/>
              </w:rPr>
              <w:t>(0.</w:t>
            </w:r>
            <w:r>
              <w:rPr>
                <w:color w:val="000000"/>
              </w:rPr>
              <w:t>1</w:t>
            </w:r>
            <w:r w:rsidRPr="00EE651E">
              <w:rPr>
                <w:color w:val="000000"/>
              </w:rPr>
              <w:t>%</w:t>
            </w:r>
            <w:r>
              <w:rPr>
                <w:color w:val="000000"/>
              </w:rPr>
              <w:t>)</w:t>
            </w:r>
            <w:r w:rsidRPr="00EE651E">
              <w:rPr>
                <w:color w:val="000000"/>
              </w:rPr>
              <w:t xml:space="preserve">, </w:t>
            </w:r>
            <w:r>
              <w:rPr>
                <w:color w:val="000000"/>
              </w:rPr>
              <w:t>Mid-level (</w:t>
            </w:r>
            <w:r w:rsidRPr="00EE651E">
              <w:rPr>
                <w:color w:val="000000"/>
              </w:rPr>
              <w:t>GS 13 and 14</w:t>
            </w:r>
            <w:r>
              <w:rPr>
                <w:color w:val="000000"/>
              </w:rPr>
              <w:t>)</w:t>
            </w:r>
            <w:r w:rsidRPr="00EE651E">
              <w:rPr>
                <w:color w:val="000000"/>
              </w:rPr>
              <w:t xml:space="preserve"> managers</w:t>
            </w:r>
            <w:r>
              <w:rPr>
                <w:color w:val="000000"/>
              </w:rPr>
              <w:t xml:space="preserve"> (</w:t>
            </w:r>
            <w:r w:rsidRPr="00EE651E">
              <w:rPr>
                <w:color w:val="000000"/>
              </w:rPr>
              <w:t>0.2%</w:t>
            </w:r>
            <w:r>
              <w:rPr>
                <w:color w:val="000000"/>
              </w:rPr>
              <w:t>)</w:t>
            </w:r>
            <w:r w:rsidRPr="00EE651E">
              <w:rPr>
                <w:color w:val="000000"/>
              </w:rPr>
              <w:t xml:space="preserve">, and </w:t>
            </w:r>
            <w:r>
              <w:rPr>
                <w:color w:val="000000"/>
              </w:rPr>
              <w:t>First level (</w:t>
            </w:r>
            <w:r w:rsidRPr="00EE651E">
              <w:rPr>
                <w:color w:val="000000"/>
              </w:rPr>
              <w:t>GS 12 and below</w:t>
            </w:r>
            <w:r>
              <w:rPr>
                <w:color w:val="000000"/>
              </w:rPr>
              <w:t>)</w:t>
            </w:r>
            <w:r w:rsidRPr="00EE651E">
              <w:rPr>
                <w:color w:val="000000"/>
              </w:rPr>
              <w:t xml:space="preserve"> managers</w:t>
            </w:r>
            <w:r>
              <w:rPr>
                <w:color w:val="000000"/>
              </w:rPr>
              <w:t xml:space="preserve"> (</w:t>
            </w:r>
            <w:r w:rsidRPr="00EE651E">
              <w:rPr>
                <w:color w:val="000000"/>
              </w:rPr>
              <w:t>0.0%</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AI/AN females received</w:t>
            </w:r>
            <w:r>
              <w:rPr>
                <w:color w:val="000000"/>
              </w:rPr>
              <w:t xml:space="preserve"> a total of 0.4% of all awards distributed, which is comparable</w:t>
            </w:r>
            <w:r w:rsidRPr="00EE651E">
              <w:rPr>
                <w:color w:val="000000"/>
              </w:rPr>
              <w:t xml:space="preserve"> to their participation in the</w:t>
            </w:r>
            <w:r>
              <w:rPr>
                <w:color w:val="000000"/>
              </w:rPr>
              <w:t xml:space="preserve"> total</w:t>
            </w:r>
            <w:r w:rsidRPr="00EE651E">
              <w:rPr>
                <w:color w:val="000000"/>
              </w:rPr>
              <w:t xml:space="preserve"> NIH workforce</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Black males: </w:t>
            </w:r>
          </w:p>
          <w:p w:rsidR="00D373A6" w:rsidRPr="00EE651E" w:rsidRDefault="00D373A6" w:rsidP="009B3912">
            <w:pPr>
              <w:pStyle w:val="ListParagraph"/>
              <w:numPr>
                <w:ilvl w:val="0"/>
                <w:numId w:val="25"/>
              </w:numPr>
              <w:spacing w:after="200"/>
              <w:ind w:left="360"/>
              <w:rPr>
                <w:color w:val="000000"/>
              </w:rPr>
            </w:pPr>
            <w:r>
              <w:rPr>
                <w:color w:val="000000"/>
              </w:rPr>
              <w:t>6.0</w:t>
            </w:r>
            <w:r w:rsidRPr="00EE651E">
              <w:rPr>
                <w:color w:val="000000"/>
              </w:rPr>
              <w:t xml:space="preserve">%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7.2% in the permanent NIH workforce, and </w:t>
            </w:r>
          </w:p>
          <w:p w:rsidR="00D373A6" w:rsidRPr="00145D40" w:rsidRDefault="00D373A6" w:rsidP="009B3912">
            <w:pPr>
              <w:pStyle w:val="ListParagraph"/>
              <w:numPr>
                <w:ilvl w:val="0"/>
                <w:numId w:val="25"/>
              </w:numPr>
              <w:spacing w:after="200"/>
              <w:ind w:left="360"/>
              <w:rPr>
                <w:color w:val="000000"/>
              </w:rPr>
            </w:pPr>
            <w:r w:rsidRPr="00EE651E">
              <w:rPr>
                <w:color w:val="000000"/>
              </w:rPr>
              <w:t>2.3% in the temporary NIH workforce</w:t>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GS 13</w:t>
            </w:r>
            <w:r>
              <w:rPr>
                <w:color w:val="000000"/>
              </w:rPr>
              <w:t xml:space="preserve"> (</w:t>
            </w:r>
            <w:r w:rsidRPr="00EE651E">
              <w:rPr>
                <w:color w:val="000000"/>
              </w:rPr>
              <w:t>4.8%</w:t>
            </w:r>
            <w:r>
              <w:rPr>
                <w:color w:val="000000"/>
              </w:rPr>
              <w:t>)</w:t>
            </w:r>
            <w:r w:rsidRPr="00EE651E">
              <w:rPr>
                <w:color w:val="000000"/>
              </w:rPr>
              <w:t xml:space="preserve"> is lower than the corresponding rate of the GS 12 </w:t>
            </w:r>
            <w:r>
              <w:rPr>
                <w:color w:val="000000"/>
              </w:rPr>
              <w:t>group (</w:t>
            </w:r>
            <w:r w:rsidRPr="00EE651E">
              <w:rPr>
                <w:color w:val="000000"/>
              </w:rPr>
              <w:t>6.1%</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Black males have lower than expected participation in GS 13 (4.8%)</w:t>
            </w:r>
            <w:r>
              <w:rPr>
                <w:color w:val="000000"/>
              </w:rPr>
              <w:t>,</w:t>
            </w:r>
            <w:r w:rsidRPr="00EE651E">
              <w:rPr>
                <w:color w:val="000000"/>
              </w:rPr>
              <w:t xml:space="preserve"> </w:t>
            </w:r>
            <w:r>
              <w:rPr>
                <w:color w:val="000000"/>
              </w:rPr>
              <w:t xml:space="preserve">GS 14 (3.1%), GS 15 (2.5%), </w:t>
            </w:r>
            <w:r w:rsidRPr="00EE651E">
              <w:rPr>
                <w:color w:val="000000"/>
              </w:rPr>
              <w:t>RS</w:t>
            </w:r>
            <w:r>
              <w:rPr>
                <w:color w:val="000000"/>
              </w:rPr>
              <w:t xml:space="preserve"> (0.0%)</w:t>
            </w:r>
            <w:r w:rsidRPr="00EE651E">
              <w:rPr>
                <w:color w:val="000000"/>
              </w:rPr>
              <w:t>, and AD</w:t>
            </w:r>
            <w:r>
              <w:rPr>
                <w:color w:val="000000"/>
              </w:rPr>
              <w:t xml:space="preserve"> (1.9%)</w:t>
            </w:r>
            <w:r w:rsidRPr="00EE651E">
              <w:rPr>
                <w:color w:val="000000"/>
              </w:rPr>
              <w:t xml:space="preserve"> pay plans.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Black males are lower than expected for GS 13, 14</w:t>
            </w:r>
            <w:r>
              <w:rPr>
                <w:color w:val="000000"/>
              </w:rPr>
              <w:t>,</w:t>
            </w:r>
            <w:r w:rsidRPr="00EE651E">
              <w:rPr>
                <w:color w:val="000000"/>
              </w:rPr>
              <w:t xml:space="preserve"> 15</w:t>
            </w:r>
            <w:r>
              <w:rPr>
                <w:color w:val="000000"/>
              </w:rPr>
              <w:t>,</w:t>
            </w:r>
            <w:r w:rsidRPr="00EE651E">
              <w:rPr>
                <w:color w:val="000000"/>
              </w:rPr>
              <w:t xml:space="preserve"> and SES (4.6%, 3.8%, 2.4%, and 0.0% respectively)</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Black males have lower than expected participation in the </w:t>
            </w:r>
            <w:r>
              <w:rPr>
                <w:color w:val="000000"/>
              </w:rPr>
              <w:t>Executive/Senior Level</w:t>
            </w:r>
            <w:r w:rsidRPr="00EE651E">
              <w:rPr>
                <w:color w:val="000000"/>
              </w:rPr>
              <w:t xml:space="preserve"> </w:t>
            </w:r>
            <w:r>
              <w:rPr>
                <w:color w:val="000000"/>
              </w:rPr>
              <w:t>(</w:t>
            </w:r>
            <w:r w:rsidRPr="00EE651E">
              <w:rPr>
                <w:color w:val="000000"/>
              </w:rPr>
              <w:t>SES and GS 15</w:t>
            </w:r>
            <w:r>
              <w:rPr>
                <w:color w:val="000000"/>
              </w:rPr>
              <w:t>)</w:t>
            </w:r>
            <w:r w:rsidRPr="00EE651E">
              <w:rPr>
                <w:color w:val="000000"/>
              </w:rPr>
              <w:t xml:space="preserve"> manager category (2.</w:t>
            </w:r>
            <w:r>
              <w:rPr>
                <w:color w:val="000000"/>
              </w:rPr>
              <w:t>2</w:t>
            </w:r>
            <w:r w:rsidRPr="00EE651E">
              <w:rPr>
                <w:color w:val="000000"/>
              </w:rPr>
              <w:t>%)</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Black males received </w:t>
            </w:r>
            <w:r>
              <w:rPr>
                <w:color w:val="000000"/>
              </w:rPr>
              <w:t>5.9% of all awards distributed, which is comparable</w:t>
            </w:r>
            <w:r w:rsidRPr="00EE651E">
              <w:rPr>
                <w:color w:val="000000"/>
              </w:rPr>
              <w:t xml:space="preserve"> to their participation in the</w:t>
            </w:r>
            <w:r>
              <w:rPr>
                <w:color w:val="000000"/>
              </w:rPr>
              <w:t xml:space="preserve"> total</w:t>
            </w:r>
            <w:r w:rsidRPr="00EE651E">
              <w:rPr>
                <w:color w:val="000000"/>
              </w:rPr>
              <w:t xml:space="preserve"> NIH </w:t>
            </w:r>
            <w:r w:rsidRPr="00EE651E">
              <w:rPr>
                <w:color w:val="000000"/>
              </w:rPr>
              <w:lastRenderedPageBreak/>
              <w:t>workforce (</w:t>
            </w:r>
            <w:r>
              <w:rPr>
                <w:color w:val="000000"/>
              </w:rPr>
              <w:t>6.0%).</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lastRenderedPageBreak/>
              <w:t xml:space="preserve">Black females: </w:t>
            </w:r>
          </w:p>
          <w:p w:rsidR="00D373A6" w:rsidRPr="00EE651E" w:rsidRDefault="00D373A6" w:rsidP="009B3912">
            <w:pPr>
              <w:pStyle w:val="ListParagraph"/>
              <w:numPr>
                <w:ilvl w:val="0"/>
                <w:numId w:val="25"/>
              </w:numPr>
              <w:spacing w:after="200"/>
              <w:ind w:left="360"/>
              <w:rPr>
                <w:color w:val="000000"/>
              </w:rPr>
            </w:pPr>
            <w:r w:rsidRPr="00EE651E">
              <w:rPr>
                <w:color w:val="000000"/>
              </w:rPr>
              <w:t>14.</w:t>
            </w:r>
            <w:r>
              <w:rPr>
                <w:color w:val="000000"/>
              </w:rPr>
              <w:t>3</w:t>
            </w:r>
            <w:r w:rsidRPr="00EE651E">
              <w:rPr>
                <w:color w:val="000000"/>
              </w:rPr>
              <w:t xml:space="preserve">%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17.</w:t>
            </w:r>
            <w:r>
              <w:rPr>
                <w:color w:val="000000"/>
              </w:rPr>
              <w:t>5</w:t>
            </w:r>
            <w:r w:rsidRPr="00EE651E">
              <w:rPr>
                <w:color w:val="000000"/>
              </w:rPr>
              <w:t xml:space="preserve">% in the permanent workforce, and </w:t>
            </w:r>
          </w:p>
          <w:p w:rsidR="00D373A6" w:rsidRPr="00145D40" w:rsidRDefault="00D373A6" w:rsidP="009B3912">
            <w:pPr>
              <w:pStyle w:val="ListParagraph"/>
              <w:numPr>
                <w:ilvl w:val="0"/>
                <w:numId w:val="25"/>
              </w:numPr>
              <w:spacing w:after="200"/>
              <w:ind w:left="360"/>
              <w:rPr>
                <w:color w:val="000000"/>
              </w:rPr>
            </w:pPr>
            <w:r w:rsidRPr="00EE651E">
              <w:rPr>
                <w:color w:val="000000"/>
              </w:rPr>
              <w:t>4.5% in the temporary NIH workforce</w:t>
            </w:r>
            <w:r>
              <w:rPr>
                <w:color w:val="000000"/>
              </w:rPr>
              <w:br/>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GS 13</w:t>
            </w:r>
            <w:r>
              <w:rPr>
                <w:color w:val="000000"/>
              </w:rPr>
              <w:t xml:space="preserve"> (</w:t>
            </w:r>
            <w:r w:rsidRPr="00EE651E">
              <w:rPr>
                <w:color w:val="000000"/>
              </w:rPr>
              <w:t>15.</w:t>
            </w:r>
            <w:r>
              <w:rPr>
                <w:color w:val="000000"/>
              </w:rPr>
              <w:t>1</w:t>
            </w:r>
            <w:r w:rsidRPr="00EE651E">
              <w:rPr>
                <w:color w:val="000000"/>
              </w:rPr>
              <w:t>%</w:t>
            </w:r>
            <w:r>
              <w:rPr>
                <w:color w:val="000000"/>
              </w:rPr>
              <w:t>)</w:t>
            </w:r>
            <w:r w:rsidRPr="00EE651E">
              <w:rPr>
                <w:color w:val="000000"/>
              </w:rPr>
              <w:t xml:space="preserve"> is lower than the corresponding rate of the G</w:t>
            </w:r>
            <w:r>
              <w:rPr>
                <w:color w:val="000000"/>
              </w:rPr>
              <w:t>S 12 group (</w:t>
            </w:r>
            <w:r w:rsidRPr="00EE651E">
              <w:rPr>
                <w:color w:val="000000"/>
              </w:rPr>
              <w:t>19.6%</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Black females have lower than expected participation in GS 14 (8.3%)</w:t>
            </w:r>
            <w:r>
              <w:rPr>
                <w:color w:val="000000"/>
              </w:rPr>
              <w:t>, GS 15 (4.2%),</w:t>
            </w:r>
            <w:r w:rsidRPr="00EE651E">
              <w:rPr>
                <w:color w:val="000000"/>
              </w:rPr>
              <w:t xml:space="preserve"> SES</w:t>
            </w:r>
            <w:r>
              <w:rPr>
                <w:color w:val="000000"/>
              </w:rPr>
              <w:t xml:space="preserve"> (9.5%)</w:t>
            </w:r>
            <w:r w:rsidRPr="00EE651E">
              <w:rPr>
                <w:color w:val="000000"/>
              </w:rPr>
              <w:t>, RS</w:t>
            </w:r>
            <w:r>
              <w:rPr>
                <w:color w:val="000000"/>
              </w:rPr>
              <w:t xml:space="preserve"> (0.0%)</w:t>
            </w:r>
            <w:r w:rsidRPr="00EE651E">
              <w:rPr>
                <w:color w:val="000000"/>
              </w:rPr>
              <w:t>, and AD</w:t>
            </w:r>
            <w:r>
              <w:rPr>
                <w:color w:val="000000"/>
              </w:rPr>
              <w:t xml:space="preserve"> (3.7%)</w:t>
            </w:r>
            <w:r w:rsidRPr="00EE651E">
              <w:rPr>
                <w:color w:val="000000"/>
              </w:rPr>
              <w:t xml:space="preserve"> pay plans. </w:t>
            </w:r>
          </w:p>
          <w:p w:rsidR="00D373A6" w:rsidRPr="00EE651E" w:rsidRDefault="00D373A6" w:rsidP="009B3912">
            <w:pPr>
              <w:pStyle w:val="ListParagraph"/>
              <w:numPr>
                <w:ilvl w:val="0"/>
                <w:numId w:val="25"/>
              </w:numPr>
              <w:spacing w:after="200"/>
              <w:rPr>
                <w:color w:val="000000"/>
              </w:rPr>
            </w:pPr>
            <w:r w:rsidRPr="00EE651E">
              <w:rPr>
                <w:color w:val="000000"/>
              </w:rPr>
              <w:t xml:space="preserve">Permanent internal selections for Black females are lower than expected for GS 13, </w:t>
            </w:r>
            <w:r>
              <w:rPr>
                <w:color w:val="000000"/>
              </w:rPr>
              <w:t xml:space="preserve">GS </w:t>
            </w:r>
            <w:r w:rsidRPr="00EE651E">
              <w:rPr>
                <w:color w:val="000000"/>
              </w:rPr>
              <w:t xml:space="preserve">14, and </w:t>
            </w:r>
            <w:r>
              <w:rPr>
                <w:color w:val="000000"/>
              </w:rPr>
              <w:t xml:space="preserve">GS </w:t>
            </w:r>
            <w:r w:rsidRPr="00EE651E">
              <w:rPr>
                <w:color w:val="000000"/>
              </w:rPr>
              <w:t>15 (16.0%, 12.2%, and 5.9%, respectively)</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Black females have lower than expected participation in the </w:t>
            </w:r>
            <w:r>
              <w:rPr>
                <w:color w:val="000000"/>
              </w:rPr>
              <w:t>Executive/Senior level (</w:t>
            </w:r>
            <w:r w:rsidRPr="00EE651E">
              <w:rPr>
                <w:color w:val="000000"/>
              </w:rPr>
              <w:t>SES and GS 15</w:t>
            </w:r>
            <w:r>
              <w:rPr>
                <w:color w:val="000000"/>
              </w:rPr>
              <w:t>)</w:t>
            </w:r>
            <w:r w:rsidRPr="00EE651E">
              <w:rPr>
                <w:color w:val="000000"/>
              </w:rPr>
              <w:t xml:space="preserve"> manager and </w:t>
            </w:r>
            <w:r>
              <w:rPr>
                <w:color w:val="000000"/>
              </w:rPr>
              <w:t>Mid-level (</w:t>
            </w:r>
            <w:r w:rsidRPr="00EE651E">
              <w:rPr>
                <w:color w:val="000000"/>
              </w:rPr>
              <w:t>GS 13 and 14</w:t>
            </w:r>
            <w:r>
              <w:rPr>
                <w:color w:val="000000"/>
              </w:rPr>
              <w:t>)</w:t>
            </w:r>
            <w:r w:rsidRPr="00EE651E">
              <w:rPr>
                <w:color w:val="000000"/>
              </w:rPr>
              <w:t xml:space="preserve"> manager categories (</w:t>
            </w:r>
            <w:r>
              <w:rPr>
                <w:color w:val="000000"/>
              </w:rPr>
              <w:t>3.4</w:t>
            </w:r>
            <w:r w:rsidRPr="00EE651E">
              <w:rPr>
                <w:color w:val="000000"/>
              </w:rPr>
              <w:t xml:space="preserve">% and </w:t>
            </w:r>
            <w:r>
              <w:rPr>
                <w:color w:val="000000"/>
              </w:rPr>
              <w:t>14.2</w:t>
            </w:r>
            <w:r w:rsidRPr="00EE651E">
              <w:rPr>
                <w:color w:val="000000"/>
              </w:rPr>
              <w:t>% respectively)</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Black females received </w:t>
            </w:r>
            <w:r>
              <w:rPr>
                <w:color w:val="000000"/>
              </w:rPr>
              <w:t>13.0% of all awards distributed, which is less than</w:t>
            </w:r>
            <w:r w:rsidRPr="00EE651E">
              <w:rPr>
                <w:color w:val="000000"/>
              </w:rPr>
              <w:t xml:space="preserve"> their participation in the </w:t>
            </w:r>
            <w:r>
              <w:rPr>
                <w:color w:val="000000"/>
              </w:rPr>
              <w:t xml:space="preserve">total </w:t>
            </w:r>
            <w:r w:rsidRPr="00EE651E">
              <w:rPr>
                <w:color w:val="000000"/>
              </w:rPr>
              <w:t>NIH workforce</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Asian males: </w:t>
            </w:r>
          </w:p>
          <w:p w:rsidR="00D373A6" w:rsidRPr="00EE651E" w:rsidRDefault="00D373A6" w:rsidP="009B3912">
            <w:pPr>
              <w:pStyle w:val="ListParagraph"/>
              <w:numPr>
                <w:ilvl w:val="0"/>
                <w:numId w:val="25"/>
              </w:numPr>
              <w:spacing w:after="200"/>
              <w:ind w:left="360"/>
              <w:rPr>
                <w:color w:val="000000"/>
              </w:rPr>
            </w:pPr>
            <w:r w:rsidRPr="00EE651E">
              <w:rPr>
                <w:color w:val="000000"/>
              </w:rPr>
              <w:t>8.</w:t>
            </w:r>
            <w:r>
              <w:rPr>
                <w:color w:val="000000"/>
              </w:rPr>
              <w:t>2</w:t>
            </w:r>
            <w:r w:rsidRPr="00EE651E">
              <w:rPr>
                <w:color w:val="000000"/>
              </w:rPr>
              <w:t xml:space="preserve">%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5.2% in the permanent NIH workforce, and </w:t>
            </w:r>
          </w:p>
          <w:p w:rsidR="00D373A6" w:rsidRPr="00715FBE" w:rsidRDefault="00D373A6" w:rsidP="009B3912">
            <w:pPr>
              <w:pStyle w:val="ListParagraph"/>
              <w:numPr>
                <w:ilvl w:val="0"/>
                <w:numId w:val="25"/>
              </w:numPr>
              <w:spacing w:after="200"/>
              <w:ind w:left="360"/>
              <w:rPr>
                <w:color w:val="000000"/>
              </w:rPr>
            </w:pPr>
            <w:r w:rsidRPr="00EE651E">
              <w:rPr>
                <w:color w:val="000000"/>
              </w:rPr>
              <w:t xml:space="preserve">17.5% in the temporary NIH workforce </w:t>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GS 13</w:t>
            </w:r>
            <w:r>
              <w:rPr>
                <w:color w:val="000000"/>
              </w:rPr>
              <w:t xml:space="preserve"> (</w:t>
            </w:r>
            <w:r w:rsidRPr="00EE651E">
              <w:rPr>
                <w:color w:val="000000"/>
              </w:rPr>
              <w:t>4.9%</w:t>
            </w:r>
            <w:r>
              <w:rPr>
                <w:color w:val="000000"/>
              </w:rPr>
              <w:t>)</w:t>
            </w:r>
            <w:r w:rsidRPr="00EE651E">
              <w:rPr>
                <w:color w:val="000000"/>
              </w:rPr>
              <w:t xml:space="preserve"> is lower than the corresponding rate of the GS 12 </w:t>
            </w:r>
            <w:r>
              <w:rPr>
                <w:color w:val="000000"/>
              </w:rPr>
              <w:t>group (</w:t>
            </w:r>
            <w:r w:rsidRPr="00EE651E">
              <w:rPr>
                <w:color w:val="000000"/>
              </w:rPr>
              <w:t>5.5%</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Asian males have lower than expected participation in the GS 13 (4.9%)</w:t>
            </w:r>
            <w:r>
              <w:rPr>
                <w:color w:val="000000"/>
              </w:rPr>
              <w:t xml:space="preserve">, GS 14 (7.6%), </w:t>
            </w:r>
            <w:r w:rsidRPr="00EE651E">
              <w:rPr>
                <w:color w:val="000000"/>
              </w:rPr>
              <w:t>GS 15</w:t>
            </w:r>
            <w:r>
              <w:rPr>
                <w:color w:val="000000"/>
              </w:rPr>
              <w:t xml:space="preserve"> (16.2%)</w:t>
            </w:r>
            <w:r w:rsidRPr="00EE651E">
              <w:rPr>
                <w:color w:val="000000"/>
              </w:rPr>
              <w:t>, and the SES</w:t>
            </w:r>
            <w:r>
              <w:rPr>
                <w:color w:val="000000"/>
              </w:rPr>
              <w:t xml:space="preserve"> (4.8%)</w:t>
            </w:r>
            <w:r w:rsidRPr="00EE651E">
              <w:rPr>
                <w:color w:val="000000"/>
              </w:rPr>
              <w:t xml:space="preserve"> pay plans.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Asian males are lower than expected for GS 13, 14 and SES (3.8%, 6.1% and 0.0% respectively)</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Asian males have lower than expected participation </w:t>
            </w:r>
            <w:r>
              <w:rPr>
                <w:color w:val="000000"/>
              </w:rPr>
              <w:t>in the Mid-level (</w:t>
            </w:r>
            <w:r w:rsidRPr="00EE651E">
              <w:rPr>
                <w:color w:val="000000"/>
              </w:rPr>
              <w:t>GS 13 and GS 14</w:t>
            </w:r>
            <w:r>
              <w:rPr>
                <w:color w:val="000000"/>
              </w:rPr>
              <w:t>)</w:t>
            </w:r>
            <w:r w:rsidRPr="00EE651E">
              <w:rPr>
                <w:color w:val="000000"/>
              </w:rPr>
              <w:t xml:space="preserve"> managers</w:t>
            </w:r>
            <w:r>
              <w:rPr>
                <w:color w:val="000000"/>
              </w:rPr>
              <w:t xml:space="preserve"> </w:t>
            </w:r>
            <w:r w:rsidRPr="00EE651E">
              <w:rPr>
                <w:color w:val="000000"/>
              </w:rPr>
              <w:t>(</w:t>
            </w:r>
            <w:r>
              <w:rPr>
                <w:color w:val="000000"/>
              </w:rPr>
              <w:t>4.8%)</w:t>
            </w:r>
            <w:r w:rsidRPr="00EE651E">
              <w:rPr>
                <w:color w:val="000000"/>
              </w:rPr>
              <w:t xml:space="preserve">, </w:t>
            </w:r>
            <w:r>
              <w:rPr>
                <w:color w:val="000000"/>
              </w:rPr>
              <w:t>First-line (</w:t>
            </w:r>
            <w:r w:rsidRPr="00EE651E">
              <w:rPr>
                <w:color w:val="000000"/>
              </w:rPr>
              <w:t>GS 12 and below</w:t>
            </w:r>
            <w:r>
              <w:rPr>
                <w:color w:val="000000"/>
              </w:rPr>
              <w:t>)</w:t>
            </w:r>
            <w:r w:rsidRPr="00EE651E">
              <w:rPr>
                <w:color w:val="000000"/>
              </w:rPr>
              <w:t xml:space="preserve"> managers</w:t>
            </w:r>
            <w:r>
              <w:rPr>
                <w:color w:val="000000"/>
              </w:rPr>
              <w:t xml:space="preserve"> (</w:t>
            </w:r>
            <w:r w:rsidRPr="00EE651E">
              <w:rPr>
                <w:color w:val="000000"/>
              </w:rPr>
              <w:t>1.</w:t>
            </w:r>
            <w:r>
              <w:rPr>
                <w:color w:val="000000"/>
              </w:rPr>
              <w:t>8</w:t>
            </w:r>
            <w:r w:rsidRPr="00EE651E">
              <w:rPr>
                <w:color w:val="000000"/>
              </w:rPr>
              <w:t>%</w:t>
            </w:r>
            <w:r>
              <w:rPr>
                <w:color w:val="000000"/>
              </w:rPr>
              <w:t>)</w:t>
            </w:r>
            <w:r w:rsidRPr="00EE651E">
              <w:rPr>
                <w:color w:val="000000"/>
              </w:rPr>
              <w:t xml:space="preserve">, and </w:t>
            </w:r>
            <w:r>
              <w:rPr>
                <w:color w:val="000000"/>
              </w:rPr>
              <w:t>Other Officials and Managers (</w:t>
            </w:r>
            <w:r w:rsidRPr="00EE651E">
              <w:rPr>
                <w:color w:val="000000"/>
              </w:rPr>
              <w:t>non-supervisor</w:t>
            </w:r>
            <w:r>
              <w:rPr>
                <w:color w:val="000000"/>
              </w:rPr>
              <w:t>) (</w:t>
            </w:r>
            <w:r w:rsidRPr="00EE651E">
              <w:rPr>
                <w:color w:val="000000"/>
              </w:rPr>
              <w:t>1.8%</w:t>
            </w:r>
            <w:r>
              <w:rPr>
                <w:color w:val="000000"/>
              </w:rPr>
              <w:t>) categories</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Asian males received</w:t>
            </w:r>
            <w:r>
              <w:rPr>
                <w:color w:val="000000"/>
              </w:rPr>
              <w:t xml:space="preserve"> 7.2% of all awards distributed, which is</w:t>
            </w:r>
            <w:r w:rsidRPr="00EE651E">
              <w:rPr>
                <w:color w:val="000000"/>
              </w:rPr>
              <w:t xml:space="preserve"> </w:t>
            </w:r>
            <w:r>
              <w:rPr>
                <w:color w:val="000000"/>
              </w:rPr>
              <w:t xml:space="preserve">lower </w:t>
            </w:r>
            <w:r w:rsidRPr="00EE651E">
              <w:rPr>
                <w:color w:val="000000"/>
              </w:rPr>
              <w:t>than their participation in the</w:t>
            </w:r>
            <w:r>
              <w:rPr>
                <w:color w:val="000000"/>
              </w:rPr>
              <w:t xml:space="preserve"> total</w:t>
            </w:r>
            <w:r w:rsidRPr="00EE651E">
              <w:rPr>
                <w:color w:val="000000"/>
              </w:rPr>
              <w:t xml:space="preserve"> NIH workforce</w:t>
            </w:r>
            <w:r>
              <w:rPr>
                <w:color w:val="000000"/>
              </w:rPr>
              <w:t>.</w:t>
            </w:r>
            <w:r w:rsidRPr="00EE651E">
              <w:rPr>
                <w:color w:val="000000"/>
              </w:rPr>
              <w:t xml:space="preserve"> </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Asian females: </w:t>
            </w:r>
          </w:p>
          <w:p w:rsidR="00D373A6" w:rsidRPr="00EE651E" w:rsidRDefault="00D373A6" w:rsidP="009B3912">
            <w:pPr>
              <w:pStyle w:val="ListParagraph"/>
              <w:numPr>
                <w:ilvl w:val="0"/>
                <w:numId w:val="25"/>
              </w:numPr>
              <w:spacing w:after="200"/>
              <w:ind w:left="360"/>
              <w:rPr>
                <w:color w:val="000000"/>
              </w:rPr>
            </w:pPr>
            <w:r w:rsidRPr="00EE651E">
              <w:rPr>
                <w:color w:val="000000"/>
              </w:rPr>
              <w:t>9.</w:t>
            </w:r>
            <w:r>
              <w:rPr>
                <w:color w:val="000000"/>
              </w:rPr>
              <w:t>2</w:t>
            </w:r>
            <w:r w:rsidRPr="00EE651E">
              <w:rPr>
                <w:color w:val="000000"/>
              </w:rPr>
              <w:t xml:space="preserve">%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8.</w:t>
            </w:r>
            <w:r>
              <w:rPr>
                <w:color w:val="000000"/>
              </w:rPr>
              <w:t>3</w:t>
            </w:r>
            <w:r w:rsidRPr="00EE651E">
              <w:rPr>
                <w:color w:val="000000"/>
              </w:rPr>
              <w:t xml:space="preserve">% in the permanent NIH workforce, and </w:t>
            </w:r>
          </w:p>
          <w:p w:rsidR="00D373A6" w:rsidRPr="00145D40" w:rsidRDefault="00D373A6" w:rsidP="009B3912">
            <w:pPr>
              <w:pStyle w:val="ListParagraph"/>
              <w:numPr>
                <w:ilvl w:val="0"/>
                <w:numId w:val="25"/>
              </w:numPr>
              <w:spacing w:after="200"/>
              <w:ind w:left="360"/>
              <w:rPr>
                <w:color w:val="000000"/>
              </w:rPr>
            </w:pPr>
            <w:r w:rsidRPr="00EE651E">
              <w:rPr>
                <w:color w:val="000000"/>
              </w:rPr>
              <w:t>12% in the temporary NIH workforce</w:t>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GS 13</w:t>
            </w:r>
            <w:r>
              <w:rPr>
                <w:color w:val="000000"/>
              </w:rPr>
              <w:t xml:space="preserve"> (</w:t>
            </w:r>
            <w:r w:rsidRPr="00EE651E">
              <w:rPr>
                <w:color w:val="000000"/>
              </w:rPr>
              <w:t>8.7%</w:t>
            </w:r>
            <w:r>
              <w:rPr>
                <w:color w:val="000000"/>
              </w:rPr>
              <w:t>)</w:t>
            </w:r>
            <w:r w:rsidRPr="00EE651E">
              <w:rPr>
                <w:color w:val="000000"/>
              </w:rPr>
              <w:t xml:space="preserve"> is lower than the corresponding rate of the GS 12 </w:t>
            </w:r>
            <w:r>
              <w:rPr>
                <w:color w:val="000000"/>
              </w:rPr>
              <w:t>group (</w:t>
            </w:r>
            <w:r w:rsidRPr="00EE651E">
              <w:rPr>
                <w:color w:val="000000"/>
              </w:rPr>
              <w:t>11.7%</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Asian females have lower than expected participation in the GS 13 (8.7%)</w:t>
            </w:r>
            <w:r>
              <w:rPr>
                <w:color w:val="000000"/>
              </w:rPr>
              <w:t xml:space="preserve">, GS 14 (8.7%), GS 15 (5.1%), </w:t>
            </w:r>
            <w:r w:rsidRPr="00EE651E">
              <w:rPr>
                <w:color w:val="000000"/>
              </w:rPr>
              <w:t>SES</w:t>
            </w:r>
            <w:r>
              <w:rPr>
                <w:color w:val="000000"/>
              </w:rPr>
              <w:t xml:space="preserve"> (2.4%),</w:t>
            </w:r>
            <w:r w:rsidRPr="00EE651E">
              <w:rPr>
                <w:color w:val="000000"/>
              </w:rPr>
              <w:t xml:space="preserve"> and RS</w:t>
            </w:r>
            <w:r>
              <w:rPr>
                <w:color w:val="000000"/>
              </w:rPr>
              <w:t xml:space="preserve"> (7.6%)</w:t>
            </w:r>
            <w:r w:rsidRPr="00EE651E">
              <w:rPr>
                <w:color w:val="000000"/>
              </w:rPr>
              <w:t xml:space="preserve"> pay plans.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Asian females are lower than expected for GS 15 and SES (5.9% and 0.0%, respectively)</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Asian females have lower than expected participation in </w:t>
            </w:r>
            <w:r w:rsidRPr="00EE651E">
              <w:rPr>
                <w:color w:val="000000"/>
              </w:rPr>
              <w:lastRenderedPageBreak/>
              <w:t>all manager categories</w:t>
            </w:r>
            <w:r>
              <w:rPr>
                <w:color w:val="000000"/>
              </w:rPr>
              <w:t>, including</w:t>
            </w:r>
            <w:r w:rsidRPr="00EE651E">
              <w:rPr>
                <w:color w:val="000000"/>
              </w:rPr>
              <w:t xml:space="preserve"> </w:t>
            </w:r>
            <w:r>
              <w:rPr>
                <w:color w:val="000000"/>
              </w:rPr>
              <w:t>Executive/Senior (</w:t>
            </w:r>
            <w:r w:rsidRPr="00EE651E">
              <w:rPr>
                <w:color w:val="000000"/>
              </w:rPr>
              <w:t>SES and GS 15</w:t>
            </w:r>
            <w:r>
              <w:rPr>
                <w:color w:val="000000"/>
              </w:rPr>
              <w:t>)</w:t>
            </w:r>
            <w:r w:rsidRPr="00EE651E">
              <w:rPr>
                <w:color w:val="000000"/>
              </w:rPr>
              <w:t xml:space="preserve"> managers</w:t>
            </w:r>
            <w:r>
              <w:rPr>
                <w:color w:val="000000"/>
              </w:rPr>
              <w:t xml:space="preserve"> </w:t>
            </w:r>
            <w:r w:rsidRPr="00EE651E">
              <w:rPr>
                <w:color w:val="000000"/>
              </w:rPr>
              <w:t>(</w:t>
            </w:r>
            <w:r>
              <w:rPr>
                <w:color w:val="000000"/>
              </w:rPr>
              <w:t>3.4</w:t>
            </w:r>
            <w:r w:rsidRPr="00EE651E">
              <w:rPr>
                <w:color w:val="000000"/>
              </w:rPr>
              <w:t>%</w:t>
            </w:r>
            <w:r>
              <w:rPr>
                <w:color w:val="000000"/>
              </w:rPr>
              <w:t>)</w:t>
            </w:r>
            <w:r w:rsidRPr="00EE651E">
              <w:rPr>
                <w:color w:val="000000"/>
              </w:rPr>
              <w:t xml:space="preserve">, </w:t>
            </w:r>
            <w:r>
              <w:rPr>
                <w:color w:val="000000"/>
              </w:rPr>
              <w:t>Mid-level (</w:t>
            </w:r>
            <w:r w:rsidRPr="00EE651E">
              <w:rPr>
                <w:color w:val="000000"/>
              </w:rPr>
              <w:t>GS 13 and 14</w:t>
            </w:r>
            <w:r>
              <w:rPr>
                <w:color w:val="000000"/>
              </w:rPr>
              <w:t>)</w:t>
            </w:r>
            <w:r w:rsidRPr="00EE651E">
              <w:rPr>
                <w:color w:val="000000"/>
              </w:rPr>
              <w:t xml:space="preserve"> managers</w:t>
            </w:r>
            <w:r>
              <w:rPr>
                <w:color w:val="000000"/>
              </w:rPr>
              <w:t xml:space="preserve"> (</w:t>
            </w:r>
            <w:r w:rsidRPr="00EE651E">
              <w:rPr>
                <w:color w:val="000000"/>
              </w:rPr>
              <w:t>2.</w:t>
            </w:r>
            <w:r>
              <w:rPr>
                <w:color w:val="000000"/>
              </w:rPr>
              <w:t>7</w:t>
            </w:r>
            <w:r w:rsidRPr="00EE651E">
              <w:rPr>
                <w:color w:val="000000"/>
              </w:rPr>
              <w:t>%</w:t>
            </w:r>
            <w:r>
              <w:rPr>
                <w:color w:val="000000"/>
              </w:rPr>
              <w:t>)</w:t>
            </w:r>
            <w:r w:rsidRPr="00EE651E">
              <w:rPr>
                <w:color w:val="000000"/>
              </w:rPr>
              <w:t xml:space="preserve">, </w:t>
            </w:r>
            <w:r>
              <w:rPr>
                <w:color w:val="000000"/>
              </w:rPr>
              <w:t>First Line (</w:t>
            </w:r>
            <w:r w:rsidRPr="00EE651E">
              <w:rPr>
                <w:color w:val="000000"/>
              </w:rPr>
              <w:t>GS 12 and below</w:t>
            </w:r>
            <w:r>
              <w:rPr>
                <w:color w:val="000000"/>
              </w:rPr>
              <w:t>)</w:t>
            </w:r>
            <w:r w:rsidRPr="00EE651E">
              <w:rPr>
                <w:color w:val="000000"/>
              </w:rPr>
              <w:t xml:space="preserve"> managers</w:t>
            </w:r>
            <w:r>
              <w:rPr>
                <w:color w:val="000000"/>
              </w:rPr>
              <w:t xml:space="preserve"> (</w:t>
            </w:r>
            <w:r w:rsidRPr="00EE651E">
              <w:rPr>
                <w:color w:val="000000"/>
              </w:rPr>
              <w:t>1.</w:t>
            </w:r>
            <w:r>
              <w:rPr>
                <w:color w:val="000000"/>
              </w:rPr>
              <w:t>8</w:t>
            </w:r>
            <w:r w:rsidRPr="00EE651E">
              <w:rPr>
                <w:color w:val="000000"/>
              </w:rPr>
              <w:t>%</w:t>
            </w:r>
            <w:r>
              <w:rPr>
                <w:color w:val="000000"/>
              </w:rPr>
              <w:t>)</w:t>
            </w:r>
            <w:r w:rsidRPr="00EE651E">
              <w:rPr>
                <w:color w:val="000000"/>
              </w:rPr>
              <w:t xml:space="preserve">, and  </w:t>
            </w:r>
            <w:r>
              <w:rPr>
                <w:color w:val="000000"/>
              </w:rPr>
              <w:t>Other Officials and Managers (</w:t>
            </w:r>
            <w:r w:rsidRPr="00EE651E">
              <w:rPr>
                <w:color w:val="000000"/>
              </w:rPr>
              <w:t>non-supervisory) 5.2%</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Asian females received</w:t>
            </w:r>
            <w:r>
              <w:rPr>
                <w:color w:val="000000"/>
              </w:rPr>
              <w:t xml:space="preserve"> 8.2% of all award</w:t>
            </w:r>
            <w:r w:rsidR="00901E12">
              <w:rPr>
                <w:color w:val="000000"/>
              </w:rPr>
              <w:t>s distributed, which is</w:t>
            </w:r>
            <w:r>
              <w:rPr>
                <w:color w:val="000000"/>
              </w:rPr>
              <w:t xml:space="preserve"> less </w:t>
            </w:r>
            <w:r w:rsidRPr="00EE651E">
              <w:rPr>
                <w:color w:val="000000"/>
              </w:rPr>
              <w:t>than their participation in the NIH</w:t>
            </w:r>
            <w:r>
              <w:rPr>
                <w:color w:val="000000"/>
              </w:rPr>
              <w:t xml:space="preserve"> total</w:t>
            </w:r>
            <w:r w:rsidR="00901E12">
              <w:rPr>
                <w:color w:val="000000"/>
              </w:rPr>
              <w:t xml:space="preserve"> workforce</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lastRenderedPageBreak/>
              <w:t xml:space="preserve">White males: </w:t>
            </w:r>
          </w:p>
          <w:p w:rsidR="00D373A6" w:rsidRPr="00EE651E" w:rsidRDefault="00D373A6" w:rsidP="009B3912">
            <w:pPr>
              <w:pStyle w:val="ListParagraph"/>
              <w:numPr>
                <w:ilvl w:val="0"/>
                <w:numId w:val="25"/>
              </w:numPr>
              <w:spacing w:after="200"/>
              <w:ind w:left="360"/>
              <w:rPr>
                <w:color w:val="000000"/>
              </w:rPr>
            </w:pPr>
            <w:r w:rsidRPr="00EE651E">
              <w:rPr>
                <w:color w:val="000000"/>
              </w:rPr>
              <w:t>26</w:t>
            </w:r>
            <w:r>
              <w:rPr>
                <w:color w:val="000000"/>
              </w:rPr>
              <w:t>.0</w:t>
            </w:r>
            <w:r w:rsidRPr="00EE651E">
              <w:rPr>
                <w:color w:val="000000"/>
              </w:rPr>
              <w:t xml:space="preserve">%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23.0% in the permanent NIH workforce, and </w:t>
            </w:r>
          </w:p>
          <w:p w:rsidR="00D373A6" w:rsidRPr="00715FBE" w:rsidRDefault="00D373A6" w:rsidP="009B3912">
            <w:pPr>
              <w:pStyle w:val="ListParagraph"/>
              <w:numPr>
                <w:ilvl w:val="0"/>
                <w:numId w:val="25"/>
              </w:numPr>
              <w:spacing w:after="200"/>
              <w:ind w:left="360"/>
              <w:rPr>
                <w:color w:val="000000"/>
              </w:rPr>
            </w:pPr>
            <w:r w:rsidRPr="00EE651E">
              <w:rPr>
                <w:color w:val="000000"/>
              </w:rPr>
              <w:t>35.5% in the temporary NIH workforce</w:t>
            </w:r>
            <w:r>
              <w:rPr>
                <w:color w:val="000000"/>
              </w:rPr>
              <w:br/>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SES</w:t>
            </w:r>
            <w:r>
              <w:rPr>
                <w:color w:val="000000"/>
              </w:rPr>
              <w:t xml:space="preserve"> (</w:t>
            </w:r>
            <w:r w:rsidRPr="00EE651E">
              <w:rPr>
                <w:color w:val="000000"/>
              </w:rPr>
              <w:t>28.6%</w:t>
            </w:r>
            <w:r>
              <w:rPr>
                <w:color w:val="000000"/>
              </w:rPr>
              <w:t>)</w:t>
            </w:r>
            <w:r w:rsidRPr="00EE651E">
              <w:rPr>
                <w:color w:val="000000"/>
              </w:rPr>
              <w:t xml:space="preserve"> is lower than the corresponding rate of the GS 1</w:t>
            </w:r>
            <w:r>
              <w:rPr>
                <w:color w:val="000000"/>
              </w:rPr>
              <w:t>5group (</w:t>
            </w:r>
            <w:r w:rsidRPr="00EE651E">
              <w:rPr>
                <w:color w:val="000000"/>
              </w:rPr>
              <w:t>39.1%</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White males have lower than expected participation in the GS 13 (22.1%) pay plan.  </w:t>
            </w:r>
          </w:p>
          <w:p w:rsidR="00D373A6" w:rsidRPr="00EE651E" w:rsidRDefault="00D373A6" w:rsidP="009B3912">
            <w:pPr>
              <w:pStyle w:val="ListParagraph"/>
              <w:numPr>
                <w:ilvl w:val="0"/>
                <w:numId w:val="25"/>
              </w:numPr>
              <w:spacing w:after="200"/>
              <w:rPr>
                <w:color w:val="000000"/>
              </w:rPr>
            </w:pPr>
            <w:r w:rsidRPr="00EE651E">
              <w:rPr>
                <w:color w:val="000000"/>
              </w:rPr>
              <w:t>Permanent internal selections for White males are lower than expected for GS 13, 14, and SES pay plans (22.4%, 21.4% and 0.0%, respectively)</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White males have lower than expected participation in the</w:t>
            </w:r>
            <w:r>
              <w:rPr>
                <w:color w:val="000000"/>
              </w:rPr>
              <w:t xml:space="preserve"> Other Officials and Managers</w:t>
            </w:r>
            <w:r w:rsidRPr="00EE651E">
              <w:rPr>
                <w:color w:val="000000"/>
              </w:rPr>
              <w:t xml:space="preserve"> </w:t>
            </w:r>
            <w:r>
              <w:rPr>
                <w:color w:val="000000"/>
              </w:rPr>
              <w:t>(</w:t>
            </w:r>
            <w:r w:rsidRPr="00EE651E">
              <w:rPr>
                <w:color w:val="000000"/>
              </w:rPr>
              <w:t>non-supervisory</w:t>
            </w:r>
            <w:r>
              <w:rPr>
                <w:color w:val="000000"/>
              </w:rPr>
              <w:t>)</w:t>
            </w:r>
            <w:r w:rsidRPr="00EE651E">
              <w:rPr>
                <w:color w:val="000000"/>
              </w:rPr>
              <w:t xml:space="preserve"> manager category (14.</w:t>
            </w:r>
            <w:r>
              <w:rPr>
                <w:color w:val="000000"/>
              </w:rPr>
              <w:t>4</w:t>
            </w:r>
            <w:r w:rsidRPr="00EE651E">
              <w:rPr>
                <w:color w:val="000000"/>
              </w:rPr>
              <w:t>%)</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White males received </w:t>
            </w:r>
            <w:r>
              <w:rPr>
                <w:color w:val="000000"/>
              </w:rPr>
              <w:t>26.5% of all awards distributed, which is comparable to</w:t>
            </w:r>
            <w:r w:rsidRPr="00EE651E">
              <w:rPr>
                <w:color w:val="000000"/>
              </w:rPr>
              <w:t xml:space="preserve"> their participation in the </w:t>
            </w:r>
            <w:r>
              <w:rPr>
                <w:color w:val="000000"/>
              </w:rPr>
              <w:t xml:space="preserve">total </w:t>
            </w:r>
            <w:r w:rsidRPr="00EE651E">
              <w:rPr>
                <w:color w:val="000000"/>
              </w:rPr>
              <w:t>NIH workforce</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White females: </w:t>
            </w:r>
          </w:p>
          <w:p w:rsidR="00D373A6" w:rsidRPr="00EE651E" w:rsidRDefault="00D373A6" w:rsidP="009B3912">
            <w:pPr>
              <w:pStyle w:val="ListParagraph"/>
              <w:numPr>
                <w:ilvl w:val="0"/>
                <w:numId w:val="25"/>
              </w:numPr>
              <w:spacing w:after="200"/>
              <w:ind w:left="360"/>
              <w:rPr>
                <w:color w:val="000000"/>
              </w:rPr>
            </w:pPr>
            <w:r>
              <w:rPr>
                <w:color w:val="000000"/>
              </w:rPr>
              <w:t>33.5</w:t>
            </w:r>
            <w:r w:rsidRPr="00EE651E">
              <w:rPr>
                <w:color w:val="000000"/>
              </w:rPr>
              <w:t xml:space="preserve">%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35.2% in the NIH permanent total workforce, and </w:t>
            </w:r>
          </w:p>
          <w:p w:rsidR="00D373A6" w:rsidRPr="0082258A" w:rsidRDefault="00D373A6" w:rsidP="009E4D83">
            <w:pPr>
              <w:pStyle w:val="ListParagraph"/>
              <w:ind w:left="360"/>
              <w:rPr>
                <w:color w:val="000000"/>
              </w:rPr>
            </w:pPr>
            <w:r w:rsidRPr="00EE651E">
              <w:rPr>
                <w:color w:val="000000"/>
              </w:rPr>
              <w:t>25.0% in the temporary NIH workforce</w:t>
            </w:r>
            <w:r>
              <w:rPr>
                <w:color w:val="000000"/>
              </w:rPr>
              <w:br/>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Participation at GS 15</w:t>
            </w:r>
            <w:r>
              <w:rPr>
                <w:color w:val="000000"/>
              </w:rPr>
              <w:t xml:space="preserve"> (</w:t>
            </w:r>
            <w:r w:rsidRPr="00EE651E">
              <w:rPr>
                <w:color w:val="000000"/>
              </w:rPr>
              <w:t>39.6%</w:t>
            </w:r>
            <w:r>
              <w:rPr>
                <w:color w:val="000000"/>
              </w:rPr>
              <w:t>)</w:t>
            </w:r>
            <w:r w:rsidRPr="00EE651E">
              <w:rPr>
                <w:color w:val="000000"/>
              </w:rPr>
              <w:t xml:space="preserve"> is lower than the corresponding rate of the GS 1</w:t>
            </w:r>
            <w:r>
              <w:rPr>
                <w:color w:val="000000"/>
              </w:rPr>
              <w:t>4</w:t>
            </w:r>
            <w:r w:rsidRPr="00EE651E">
              <w:rPr>
                <w:color w:val="000000"/>
              </w:rPr>
              <w:t xml:space="preserve"> </w:t>
            </w:r>
            <w:r>
              <w:rPr>
                <w:color w:val="000000"/>
              </w:rPr>
              <w:t>group</w:t>
            </w:r>
            <w:r w:rsidRPr="00EE651E" w:rsidDel="00862D78">
              <w:rPr>
                <w:color w:val="000000"/>
              </w:rPr>
              <w:t xml:space="preserve"> </w:t>
            </w:r>
            <w:r>
              <w:rPr>
                <w:color w:val="000000"/>
              </w:rPr>
              <w:t>(</w:t>
            </w:r>
            <w:r w:rsidRPr="00EE651E">
              <w:rPr>
                <w:color w:val="000000"/>
              </w:rPr>
              <w:t>40.6%</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White females have lower than expected participation in the AD pay plan (24.5%)</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White females have lower than expected participation in the </w:t>
            </w:r>
            <w:r>
              <w:rPr>
                <w:color w:val="000000"/>
              </w:rPr>
              <w:t xml:space="preserve">First-level </w:t>
            </w:r>
            <w:r w:rsidRPr="00EE651E">
              <w:rPr>
                <w:color w:val="000000"/>
              </w:rPr>
              <w:t xml:space="preserve">supervisory </w:t>
            </w:r>
            <w:r>
              <w:rPr>
                <w:color w:val="000000"/>
              </w:rPr>
              <w:t>(</w:t>
            </w:r>
            <w:r w:rsidRPr="00EE651E">
              <w:rPr>
                <w:color w:val="000000"/>
              </w:rPr>
              <w:t>GS 12 and below</w:t>
            </w:r>
            <w:r>
              <w:rPr>
                <w:color w:val="000000"/>
              </w:rPr>
              <w:t>)</w:t>
            </w:r>
            <w:r w:rsidRPr="00EE651E">
              <w:rPr>
                <w:color w:val="000000"/>
              </w:rPr>
              <w:t xml:space="preserve"> category (1</w:t>
            </w:r>
            <w:r>
              <w:rPr>
                <w:color w:val="000000"/>
              </w:rPr>
              <w:t>8.4</w:t>
            </w:r>
            <w:r w:rsidRPr="00EE651E">
              <w:rPr>
                <w:color w:val="000000"/>
              </w:rPr>
              <w:t>%)</w:t>
            </w:r>
            <w:r>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 xml:space="preserve">White females received </w:t>
            </w:r>
            <w:r>
              <w:rPr>
                <w:color w:val="000000"/>
              </w:rPr>
              <w:t>35.8% of all awards distributed, which is slightly higher than</w:t>
            </w:r>
            <w:r w:rsidRPr="00EE651E">
              <w:rPr>
                <w:color w:val="000000"/>
              </w:rPr>
              <w:t xml:space="preserve"> their participation in the </w:t>
            </w:r>
            <w:r>
              <w:rPr>
                <w:color w:val="000000"/>
              </w:rPr>
              <w:t xml:space="preserve">total </w:t>
            </w:r>
            <w:r w:rsidRPr="00EE651E">
              <w:rPr>
                <w:color w:val="000000"/>
              </w:rPr>
              <w:t>NIH workforce</w:t>
            </w:r>
            <w:r>
              <w:rPr>
                <w:color w:val="000000"/>
              </w:rPr>
              <w:t>.</w:t>
            </w:r>
          </w:p>
          <w:p w:rsidR="00D373A6" w:rsidRPr="00EE651E" w:rsidRDefault="00D373A6" w:rsidP="009E4D83">
            <w:pPr>
              <w:pStyle w:val="ListParagraph"/>
              <w:rPr>
                <w:color w:val="000000"/>
              </w:rPr>
            </w:pP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t xml:space="preserve">People with disabilities: </w:t>
            </w:r>
          </w:p>
          <w:p w:rsidR="00D373A6" w:rsidRPr="00EE651E" w:rsidRDefault="00D373A6" w:rsidP="009B3912">
            <w:pPr>
              <w:pStyle w:val="ListParagraph"/>
              <w:numPr>
                <w:ilvl w:val="0"/>
                <w:numId w:val="25"/>
              </w:numPr>
              <w:spacing w:after="200"/>
              <w:ind w:left="360"/>
              <w:rPr>
                <w:color w:val="000000"/>
              </w:rPr>
            </w:pPr>
            <w:r>
              <w:rPr>
                <w:color w:val="000000"/>
              </w:rPr>
              <w:t>7.1</w:t>
            </w:r>
            <w:r w:rsidRPr="00EE651E">
              <w:rPr>
                <w:color w:val="000000"/>
              </w:rPr>
              <w:t>% in the total NIH workforce,</w:t>
            </w:r>
          </w:p>
          <w:p w:rsidR="00D373A6" w:rsidRPr="00EE651E" w:rsidRDefault="00D373A6" w:rsidP="009B3912">
            <w:pPr>
              <w:pStyle w:val="ListParagraph"/>
              <w:numPr>
                <w:ilvl w:val="0"/>
                <w:numId w:val="25"/>
              </w:numPr>
              <w:spacing w:after="200"/>
              <w:ind w:left="360"/>
              <w:rPr>
                <w:color w:val="000000"/>
              </w:rPr>
            </w:pPr>
            <w:r>
              <w:rPr>
                <w:color w:val="000000"/>
              </w:rPr>
              <w:t>8.2</w:t>
            </w:r>
            <w:r w:rsidRPr="00EE651E">
              <w:rPr>
                <w:color w:val="000000"/>
              </w:rPr>
              <w:t xml:space="preserve">% in the permanent NIH workforce, and </w:t>
            </w:r>
          </w:p>
          <w:p w:rsidR="00D373A6" w:rsidRPr="00EE651E" w:rsidRDefault="00D373A6" w:rsidP="009B3912">
            <w:pPr>
              <w:pStyle w:val="ListParagraph"/>
              <w:numPr>
                <w:ilvl w:val="0"/>
                <w:numId w:val="25"/>
              </w:numPr>
              <w:spacing w:after="200"/>
              <w:ind w:left="360"/>
              <w:rPr>
                <w:color w:val="000000"/>
              </w:rPr>
            </w:pPr>
            <w:r>
              <w:rPr>
                <w:color w:val="000000"/>
              </w:rPr>
              <w:t>3.</w:t>
            </w:r>
            <w:r w:rsidRPr="00EE651E">
              <w:rPr>
                <w:color w:val="000000"/>
              </w:rPr>
              <w:t xml:space="preserve">6% in the </w:t>
            </w:r>
            <w:r w:rsidRPr="00EE651E">
              <w:rPr>
                <w:color w:val="000000"/>
              </w:rPr>
              <w:lastRenderedPageBreak/>
              <w:t>temporary NIH workforce</w:t>
            </w:r>
            <w:r>
              <w:rPr>
                <w:color w:val="000000"/>
              </w:rPr>
              <w:br/>
            </w:r>
          </w:p>
        </w:tc>
        <w:tc>
          <w:tcPr>
            <w:tcW w:w="6588" w:type="dxa"/>
          </w:tcPr>
          <w:p w:rsidR="00D373A6" w:rsidRDefault="00D373A6" w:rsidP="009B3912">
            <w:pPr>
              <w:pStyle w:val="ListParagraph"/>
              <w:numPr>
                <w:ilvl w:val="0"/>
                <w:numId w:val="25"/>
              </w:numPr>
              <w:spacing w:after="200"/>
              <w:rPr>
                <w:color w:val="000000"/>
              </w:rPr>
            </w:pPr>
            <w:r w:rsidRPr="001D5234">
              <w:rPr>
                <w:color w:val="000000"/>
              </w:rPr>
              <w:lastRenderedPageBreak/>
              <w:t xml:space="preserve">Participation </w:t>
            </w:r>
            <w:r>
              <w:rPr>
                <w:color w:val="000000"/>
              </w:rPr>
              <w:t xml:space="preserve">of employees with disabilities </w:t>
            </w:r>
            <w:r w:rsidRPr="001D5234">
              <w:rPr>
                <w:color w:val="000000"/>
              </w:rPr>
              <w:t>at GS 15</w:t>
            </w:r>
            <w:r>
              <w:rPr>
                <w:color w:val="000000"/>
              </w:rPr>
              <w:t xml:space="preserve"> </w:t>
            </w:r>
            <w:r w:rsidRPr="001D5234">
              <w:rPr>
                <w:color w:val="000000"/>
              </w:rPr>
              <w:t>is lower than the corresponding rate of the GS 14 group</w:t>
            </w:r>
            <w:r>
              <w:rPr>
                <w:color w:val="000000"/>
              </w:rPr>
              <w:t xml:space="preserve"> </w:t>
            </w:r>
            <w:r w:rsidRPr="001D5234">
              <w:rPr>
                <w:color w:val="000000"/>
              </w:rPr>
              <w:t>(</w:t>
            </w:r>
            <w:r>
              <w:rPr>
                <w:color w:val="000000"/>
              </w:rPr>
              <w:t>5.9% as compared to 7.7%).</w:t>
            </w:r>
          </w:p>
          <w:p w:rsidR="00D373A6" w:rsidRPr="001D5234" w:rsidRDefault="00D373A6" w:rsidP="009B3912">
            <w:pPr>
              <w:pStyle w:val="ListParagraph"/>
              <w:numPr>
                <w:ilvl w:val="0"/>
                <w:numId w:val="25"/>
              </w:numPr>
              <w:spacing w:after="200"/>
              <w:rPr>
                <w:color w:val="000000"/>
              </w:rPr>
            </w:pPr>
            <w:r w:rsidRPr="001D5234">
              <w:rPr>
                <w:color w:val="000000"/>
              </w:rPr>
              <w:t>People with disabilities have lower than expected participation in GS 15</w:t>
            </w:r>
            <w:r>
              <w:rPr>
                <w:color w:val="000000"/>
              </w:rPr>
              <w:t xml:space="preserve"> (5.9%)</w:t>
            </w:r>
            <w:r w:rsidRPr="001D5234">
              <w:rPr>
                <w:color w:val="000000"/>
              </w:rPr>
              <w:t xml:space="preserve">, </w:t>
            </w:r>
            <w:r>
              <w:rPr>
                <w:color w:val="000000"/>
              </w:rPr>
              <w:t xml:space="preserve">SES (4,8%), RS (5.6%), </w:t>
            </w:r>
            <w:r w:rsidRPr="001D5234">
              <w:rPr>
                <w:color w:val="000000"/>
              </w:rPr>
              <w:t>and AD pay plans (</w:t>
            </w:r>
            <w:r>
              <w:rPr>
                <w:color w:val="000000"/>
              </w:rPr>
              <w:t xml:space="preserve">3.3%). </w:t>
            </w:r>
            <w:r w:rsidRPr="001D5234">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Internal selections for people with disabilities are lower than expected</w:t>
            </w:r>
            <w:r>
              <w:rPr>
                <w:color w:val="000000"/>
              </w:rPr>
              <w:t>, GS 13 (5.7%), and GS 15 (4.7%).</w:t>
            </w:r>
          </w:p>
          <w:p w:rsidR="00D373A6" w:rsidRPr="00EE651E" w:rsidRDefault="00D373A6" w:rsidP="009B3912">
            <w:pPr>
              <w:pStyle w:val="ListParagraph"/>
              <w:numPr>
                <w:ilvl w:val="0"/>
                <w:numId w:val="25"/>
              </w:numPr>
              <w:spacing w:after="200"/>
              <w:rPr>
                <w:color w:val="000000"/>
              </w:rPr>
            </w:pPr>
            <w:r w:rsidRPr="00EE651E">
              <w:rPr>
                <w:color w:val="000000"/>
              </w:rPr>
              <w:lastRenderedPageBreak/>
              <w:t xml:space="preserve">People with disabilities received </w:t>
            </w:r>
            <w:r>
              <w:rPr>
                <w:color w:val="000000"/>
              </w:rPr>
              <w:t>7.0% of all total awards, which is comparable to their</w:t>
            </w:r>
            <w:r w:rsidRPr="00EE651E">
              <w:rPr>
                <w:color w:val="000000"/>
              </w:rPr>
              <w:t xml:space="preserve"> participation in the </w:t>
            </w:r>
            <w:r>
              <w:rPr>
                <w:color w:val="000000"/>
              </w:rPr>
              <w:t xml:space="preserve">total </w:t>
            </w:r>
            <w:r w:rsidRPr="00EE651E">
              <w:rPr>
                <w:color w:val="000000"/>
              </w:rPr>
              <w:t>NIH workforce</w:t>
            </w:r>
            <w:r>
              <w:rPr>
                <w:color w:val="000000"/>
              </w:rPr>
              <w:t>.</w:t>
            </w:r>
          </w:p>
        </w:tc>
      </w:tr>
      <w:tr w:rsidR="00D373A6" w:rsidRPr="00EE651E" w:rsidTr="009E4D83">
        <w:tc>
          <w:tcPr>
            <w:tcW w:w="2268" w:type="dxa"/>
          </w:tcPr>
          <w:p w:rsidR="00D373A6" w:rsidRPr="00EE651E" w:rsidRDefault="00D373A6" w:rsidP="009E4D83">
            <w:pPr>
              <w:rPr>
                <w:rFonts w:ascii="Times New Roman" w:hAnsi="Times New Roman"/>
                <w:color w:val="000000"/>
              </w:rPr>
            </w:pPr>
            <w:r w:rsidRPr="00EE651E">
              <w:rPr>
                <w:rFonts w:ascii="Times New Roman" w:hAnsi="Times New Roman"/>
                <w:color w:val="000000"/>
              </w:rPr>
              <w:lastRenderedPageBreak/>
              <w:t xml:space="preserve">People with targeted disabilities: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1.2% participation in the total NIH workforce, </w:t>
            </w:r>
          </w:p>
          <w:p w:rsidR="00D373A6" w:rsidRPr="00EE651E" w:rsidRDefault="00D373A6" w:rsidP="009B3912">
            <w:pPr>
              <w:pStyle w:val="ListParagraph"/>
              <w:numPr>
                <w:ilvl w:val="0"/>
                <w:numId w:val="25"/>
              </w:numPr>
              <w:spacing w:after="200"/>
              <w:ind w:left="360"/>
              <w:rPr>
                <w:color w:val="000000"/>
              </w:rPr>
            </w:pPr>
            <w:r w:rsidRPr="00EE651E">
              <w:rPr>
                <w:color w:val="000000"/>
              </w:rPr>
              <w:t xml:space="preserve">1.4% in the NIH permanent total workforce, and </w:t>
            </w:r>
          </w:p>
          <w:p w:rsidR="00D373A6" w:rsidRPr="00A11415" w:rsidRDefault="00D373A6" w:rsidP="009B3912">
            <w:pPr>
              <w:pStyle w:val="ListParagraph"/>
              <w:numPr>
                <w:ilvl w:val="0"/>
                <w:numId w:val="25"/>
              </w:numPr>
              <w:spacing w:after="200"/>
              <w:ind w:left="360"/>
              <w:rPr>
                <w:color w:val="000000"/>
              </w:rPr>
            </w:pPr>
            <w:r w:rsidRPr="00EE651E">
              <w:rPr>
                <w:color w:val="000000"/>
              </w:rPr>
              <w:t>0.5% in the NIH temporary workforce</w:t>
            </w:r>
          </w:p>
        </w:tc>
        <w:tc>
          <w:tcPr>
            <w:tcW w:w="6588" w:type="dxa"/>
          </w:tcPr>
          <w:p w:rsidR="00D373A6" w:rsidRPr="00EE651E" w:rsidRDefault="00D373A6" w:rsidP="009B3912">
            <w:pPr>
              <w:pStyle w:val="ListParagraph"/>
              <w:numPr>
                <w:ilvl w:val="0"/>
                <w:numId w:val="25"/>
              </w:numPr>
              <w:spacing w:after="200"/>
              <w:rPr>
                <w:color w:val="000000"/>
              </w:rPr>
            </w:pPr>
            <w:r w:rsidRPr="00EE651E">
              <w:rPr>
                <w:color w:val="000000"/>
              </w:rPr>
              <w:t xml:space="preserve">Participation </w:t>
            </w:r>
            <w:r>
              <w:rPr>
                <w:color w:val="000000"/>
              </w:rPr>
              <w:t xml:space="preserve">of people with targeted disabilities </w:t>
            </w:r>
            <w:r w:rsidRPr="00EE651E">
              <w:rPr>
                <w:color w:val="000000"/>
              </w:rPr>
              <w:t>at GS 13</w:t>
            </w:r>
            <w:r>
              <w:rPr>
                <w:color w:val="000000"/>
              </w:rPr>
              <w:t xml:space="preserve"> (</w:t>
            </w:r>
            <w:r w:rsidRPr="00EE651E">
              <w:rPr>
                <w:color w:val="000000"/>
              </w:rPr>
              <w:t>0.7%</w:t>
            </w:r>
            <w:r>
              <w:rPr>
                <w:color w:val="000000"/>
              </w:rPr>
              <w:t>)</w:t>
            </w:r>
            <w:r w:rsidRPr="00EE651E">
              <w:rPr>
                <w:color w:val="000000"/>
              </w:rPr>
              <w:t xml:space="preserve"> is lower than the corresponding rate of the GS 12 </w:t>
            </w:r>
            <w:r>
              <w:rPr>
                <w:color w:val="000000"/>
              </w:rPr>
              <w:t>group (</w:t>
            </w:r>
            <w:r w:rsidRPr="00EE651E">
              <w:rPr>
                <w:color w:val="000000"/>
              </w:rPr>
              <w:t>1.2%</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sidRPr="00EE651E">
              <w:rPr>
                <w:color w:val="000000"/>
              </w:rPr>
              <w:t>People with targeted disabilities have lower than expected participation in GS 13-15, SES, RS, and AD pay plans (0.7%, 0.8%, 0.5%, 0.0%, and 0.3%</w:t>
            </w:r>
            <w:r>
              <w:rPr>
                <w:color w:val="000000"/>
              </w:rPr>
              <w:t>, respectively</w:t>
            </w:r>
            <w:r w:rsidRPr="00EE651E">
              <w:rPr>
                <w:color w:val="000000"/>
              </w:rPr>
              <w:t>)</w:t>
            </w:r>
            <w:r>
              <w:rPr>
                <w:color w:val="000000"/>
              </w:rPr>
              <w:t>.</w:t>
            </w:r>
            <w:r w:rsidRPr="00EE651E">
              <w:rPr>
                <w:color w:val="000000"/>
              </w:rPr>
              <w:t xml:space="preserve"> </w:t>
            </w:r>
          </w:p>
          <w:p w:rsidR="00D373A6" w:rsidRPr="00EE651E" w:rsidRDefault="00D373A6" w:rsidP="009B3912">
            <w:pPr>
              <w:pStyle w:val="ListParagraph"/>
              <w:numPr>
                <w:ilvl w:val="0"/>
                <w:numId w:val="25"/>
              </w:numPr>
              <w:spacing w:after="200"/>
              <w:rPr>
                <w:color w:val="000000"/>
              </w:rPr>
            </w:pPr>
            <w:r w:rsidRPr="00EE651E">
              <w:rPr>
                <w:color w:val="000000"/>
              </w:rPr>
              <w:t xml:space="preserve">Internal selections for people with targeted disabilities are lower than expected with no selections made </w:t>
            </w:r>
            <w:r>
              <w:rPr>
                <w:color w:val="000000"/>
              </w:rPr>
              <w:t>at</w:t>
            </w:r>
            <w:r w:rsidRPr="00EE651E">
              <w:rPr>
                <w:color w:val="000000"/>
              </w:rPr>
              <w:t xml:space="preserve"> pay plans GS 13, 15, SES, and AD pay plans, </w:t>
            </w:r>
            <w:r>
              <w:rPr>
                <w:color w:val="000000"/>
              </w:rPr>
              <w:t>and one selection (</w:t>
            </w:r>
            <w:r w:rsidRPr="00EE651E">
              <w:rPr>
                <w:color w:val="000000"/>
              </w:rPr>
              <w:t>0.76%</w:t>
            </w:r>
            <w:r>
              <w:rPr>
                <w:color w:val="000000"/>
              </w:rPr>
              <w:t>) at</w:t>
            </w:r>
            <w:r w:rsidRPr="00EE651E">
              <w:rPr>
                <w:color w:val="000000"/>
              </w:rPr>
              <w:t xml:space="preserve"> GS 14. </w:t>
            </w:r>
          </w:p>
          <w:p w:rsidR="00D373A6" w:rsidRDefault="00D373A6" w:rsidP="009B3912">
            <w:pPr>
              <w:pStyle w:val="ListParagraph"/>
              <w:numPr>
                <w:ilvl w:val="0"/>
                <w:numId w:val="25"/>
              </w:numPr>
              <w:spacing w:after="200"/>
              <w:rPr>
                <w:color w:val="000000"/>
              </w:rPr>
            </w:pPr>
            <w:r w:rsidRPr="00EE651E">
              <w:rPr>
                <w:color w:val="000000"/>
              </w:rPr>
              <w:t xml:space="preserve">People with targeted disabilities have lower than expected participation in all manager categories </w:t>
            </w:r>
            <w:r>
              <w:rPr>
                <w:color w:val="000000"/>
              </w:rPr>
              <w:t>Executive/Senior (</w:t>
            </w:r>
            <w:r w:rsidRPr="00EE651E">
              <w:rPr>
                <w:color w:val="000000"/>
              </w:rPr>
              <w:t>SES and GS 15</w:t>
            </w:r>
            <w:r>
              <w:rPr>
                <w:color w:val="000000"/>
              </w:rPr>
              <w:t>)</w:t>
            </w:r>
            <w:r w:rsidRPr="00EE651E">
              <w:rPr>
                <w:color w:val="000000"/>
              </w:rPr>
              <w:t xml:space="preserve"> supervisors</w:t>
            </w:r>
            <w:r>
              <w:rPr>
                <w:color w:val="000000"/>
              </w:rPr>
              <w:t xml:space="preserve"> </w:t>
            </w:r>
            <w:r w:rsidRPr="00EE651E">
              <w:rPr>
                <w:color w:val="000000"/>
              </w:rPr>
              <w:t>(0.5%</w:t>
            </w:r>
            <w:r>
              <w:rPr>
                <w:color w:val="000000"/>
              </w:rPr>
              <w:t>)</w:t>
            </w:r>
            <w:r w:rsidRPr="00EE651E">
              <w:rPr>
                <w:color w:val="000000"/>
              </w:rPr>
              <w:t xml:space="preserve">, </w:t>
            </w:r>
            <w:r>
              <w:rPr>
                <w:color w:val="000000"/>
              </w:rPr>
              <w:t>Mid-level (</w:t>
            </w:r>
            <w:r w:rsidRPr="00EE651E">
              <w:rPr>
                <w:color w:val="000000"/>
              </w:rPr>
              <w:t>GS 13 and 14</w:t>
            </w:r>
            <w:r>
              <w:rPr>
                <w:color w:val="000000"/>
              </w:rPr>
              <w:t>)</w:t>
            </w:r>
            <w:r w:rsidRPr="00EE651E">
              <w:rPr>
                <w:color w:val="000000"/>
              </w:rPr>
              <w:t xml:space="preserve"> managers</w:t>
            </w:r>
            <w:r>
              <w:rPr>
                <w:color w:val="000000"/>
              </w:rPr>
              <w:t xml:space="preserve"> (</w:t>
            </w:r>
            <w:r w:rsidRPr="00EE651E">
              <w:rPr>
                <w:color w:val="000000"/>
              </w:rPr>
              <w:t>1.1%</w:t>
            </w:r>
            <w:r>
              <w:rPr>
                <w:color w:val="000000"/>
              </w:rPr>
              <w:t>)</w:t>
            </w:r>
            <w:r w:rsidRPr="00EE651E">
              <w:rPr>
                <w:color w:val="000000"/>
              </w:rPr>
              <w:t xml:space="preserve">, </w:t>
            </w:r>
            <w:r>
              <w:rPr>
                <w:color w:val="000000"/>
              </w:rPr>
              <w:t>and</w:t>
            </w:r>
            <w:r w:rsidRPr="00EE651E">
              <w:rPr>
                <w:color w:val="000000"/>
              </w:rPr>
              <w:t xml:space="preserve"> GS 12 and below managers</w:t>
            </w:r>
            <w:r>
              <w:rPr>
                <w:color w:val="000000"/>
              </w:rPr>
              <w:t xml:space="preserve"> (</w:t>
            </w:r>
            <w:r w:rsidRPr="00EE651E">
              <w:rPr>
                <w:color w:val="000000"/>
              </w:rPr>
              <w:t>0.64%</w:t>
            </w:r>
            <w:r>
              <w:rPr>
                <w:color w:val="000000"/>
              </w:rPr>
              <w:t>)</w:t>
            </w:r>
            <w:r w:rsidRPr="00EE651E">
              <w:rPr>
                <w:color w:val="000000"/>
              </w:rPr>
              <w:t>.</w:t>
            </w:r>
          </w:p>
          <w:p w:rsidR="00D373A6" w:rsidRPr="00EE651E" w:rsidRDefault="00D373A6" w:rsidP="009B3912">
            <w:pPr>
              <w:pStyle w:val="ListParagraph"/>
              <w:numPr>
                <w:ilvl w:val="0"/>
                <w:numId w:val="25"/>
              </w:numPr>
              <w:spacing w:after="200"/>
              <w:rPr>
                <w:color w:val="000000"/>
              </w:rPr>
            </w:pPr>
            <w:r>
              <w:rPr>
                <w:color w:val="000000"/>
              </w:rPr>
              <w:t xml:space="preserve">People with targeted disabilities </w:t>
            </w:r>
            <w:r w:rsidRPr="00132B0B">
              <w:rPr>
                <w:color w:val="000000"/>
              </w:rPr>
              <w:t>received 1.0% of all</w:t>
            </w:r>
            <w:r>
              <w:rPr>
                <w:color w:val="000000"/>
              </w:rPr>
              <w:t xml:space="preserve"> awards distributed, which is comparable to their participation in the total NIH workforce.</w:t>
            </w:r>
          </w:p>
        </w:tc>
      </w:tr>
    </w:tbl>
    <w:p w:rsidR="00D373A6" w:rsidRDefault="00D373A6" w:rsidP="00D373A6">
      <w:pPr>
        <w:spacing w:line="240" w:lineRule="auto"/>
        <w:rPr>
          <w:rFonts w:ascii="Times New Roman" w:hAnsi="Times New Roman" w:cs="Times New Roman"/>
          <w:color w:val="000000"/>
          <w:sz w:val="24"/>
          <w:szCs w:val="24"/>
        </w:rPr>
      </w:pPr>
    </w:p>
    <w:p w:rsidR="00D373A6" w:rsidRDefault="00D373A6" w:rsidP="00D373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373A6" w:rsidRPr="00EE651E" w:rsidRDefault="00D373A6" w:rsidP="00D373A6">
      <w:pPr>
        <w:spacing w:line="240" w:lineRule="auto"/>
        <w:rPr>
          <w:sz w:val="24"/>
          <w:szCs w:val="24"/>
        </w:rPr>
      </w:pPr>
      <w:r w:rsidRPr="00EE651E">
        <w:rPr>
          <w:rFonts w:ascii="Times New Roman" w:hAnsi="Times New Roman" w:cs="Times New Roman"/>
          <w:color w:val="000000"/>
          <w:sz w:val="24"/>
          <w:szCs w:val="24"/>
        </w:rPr>
        <w:lastRenderedPageBreak/>
        <w:t>The charts below visually illustrate these findings.</w:t>
      </w:r>
    </w:p>
    <w:p w:rsidR="00D373A6" w:rsidRPr="00EE651E" w:rsidRDefault="00D373A6" w:rsidP="00D373A6">
      <w:pPr>
        <w:pStyle w:val="NoSpacing"/>
        <w:jc w:val="center"/>
        <w:rPr>
          <w:rFonts w:ascii="Times New Roman" w:hAnsi="Times New Roman" w:cs="Times New Roman"/>
          <w:sz w:val="24"/>
          <w:szCs w:val="24"/>
        </w:rPr>
      </w:pPr>
      <w:r w:rsidRPr="00EE651E">
        <w:rPr>
          <w:noProof/>
          <w:sz w:val="24"/>
          <w:szCs w:val="24"/>
        </w:rPr>
        <w:drawing>
          <wp:inline distT="0" distB="0" distL="0" distR="0" wp14:anchorId="3ACE4FFD" wp14:editId="17DF6FB5">
            <wp:extent cx="2171700" cy="1795689"/>
            <wp:effectExtent l="0" t="0" r="19050" b="14605"/>
            <wp:docPr id="61" name="Chart 61" descr="Participation of GS-13 Employees is 67% female and 33% male." title="Participation of GS-13 Employee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E651E">
        <w:rPr>
          <w:noProof/>
          <w:sz w:val="24"/>
          <w:szCs w:val="24"/>
        </w:rPr>
        <w:drawing>
          <wp:inline distT="0" distB="0" distL="0" distR="0" wp14:anchorId="71CD4193" wp14:editId="6A59A7E6">
            <wp:extent cx="2244725" cy="1836057"/>
            <wp:effectExtent l="0" t="0" r="22225" b="12065"/>
            <wp:docPr id="62" name="Chart 62" descr="Participation of GS-14 Employees is 59% female and 41% male." title="Participation of GS-14 Employee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Source:  BIIS Table A4-1 as of September 30, 2014</w:t>
      </w:r>
    </w:p>
    <w:p w:rsidR="00D373A6" w:rsidRPr="00EE651E" w:rsidRDefault="00D373A6" w:rsidP="00D373A6">
      <w:pPr>
        <w:pStyle w:val="NoSpacing"/>
        <w:ind w:left="1440"/>
        <w:rPr>
          <w:noProof/>
        </w:rPr>
      </w:pPr>
    </w:p>
    <w:p w:rsidR="00D373A6" w:rsidRDefault="00D373A6" w:rsidP="00D373A6">
      <w:pPr>
        <w:spacing w:line="240" w:lineRule="auto"/>
        <w:jc w:val="center"/>
        <w:rPr>
          <w:noProof/>
          <w:sz w:val="24"/>
          <w:szCs w:val="24"/>
        </w:rPr>
      </w:pPr>
      <w:r w:rsidRPr="00EE651E">
        <w:rPr>
          <w:noProof/>
          <w:sz w:val="24"/>
          <w:szCs w:val="24"/>
        </w:rPr>
        <w:drawing>
          <wp:inline distT="0" distB="0" distL="0" distR="0" wp14:anchorId="0C8B1A5E" wp14:editId="4F7F4CA2">
            <wp:extent cx="2171700" cy="1747157"/>
            <wp:effectExtent l="0" t="0" r="19050" b="24765"/>
            <wp:docPr id="63" name="Chart 63" descr="Participation of GS-13 Employees is 50% female and 50% male." title="Participation of GS-15 Employee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E651E">
        <w:rPr>
          <w:noProof/>
          <w:sz w:val="24"/>
          <w:szCs w:val="24"/>
        </w:rPr>
        <w:drawing>
          <wp:inline distT="0" distB="0" distL="0" distR="0" wp14:anchorId="61ABBD70" wp14:editId="148F62AF">
            <wp:extent cx="2244725" cy="1722392"/>
            <wp:effectExtent l="0" t="0" r="22225" b="11430"/>
            <wp:docPr id="64" name="Chart 64" descr="Participation of SES Employees is 60% female and 40% male." title="Participation of SES Employee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Source:  BIIS Table A4-1 as of September 30, 2014</w:t>
      </w:r>
    </w:p>
    <w:p w:rsidR="00D373A6" w:rsidRPr="00EE651E" w:rsidRDefault="00D373A6" w:rsidP="00D373A6">
      <w:pPr>
        <w:spacing w:line="240" w:lineRule="auto"/>
        <w:jc w:val="center"/>
        <w:rPr>
          <w:noProof/>
          <w:sz w:val="24"/>
          <w:szCs w:val="24"/>
        </w:rPr>
      </w:pPr>
    </w:p>
    <w:p w:rsidR="00D373A6" w:rsidRDefault="00D373A6" w:rsidP="00D373A6">
      <w:pPr>
        <w:spacing w:line="240" w:lineRule="auto"/>
        <w:jc w:val="center"/>
        <w:rPr>
          <w:noProof/>
          <w:sz w:val="24"/>
          <w:szCs w:val="24"/>
        </w:rPr>
      </w:pPr>
      <w:r w:rsidRPr="00EE651E">
        <w:rPr>
          <w:noProof/>
          <w:sz w:val="24"/>
          <w:szCs w:val="24"/>
        </w:rPr>
        <w:drawing>
          <wp:inline distT="0" distB="0" distL="0" distR="0" wp14:anchorId="5BC983C0" wp14:editId="5CD05515">
            <wp:extent cx="2342515" cy="1787979"/>
            <wp:effectExtent l="0" t="0" r="19685" b="22225"/>
            <wp:docPr id="65" name="Chart 65" descr="Participation of Administratively Determined (AD) Employees is 41% female and 59% male.&#10;" title="Participation of AD Employees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Source:  BIIS Table A4-1 as of September 30, 2014</w:t>
      </w:r>
    </w:p>
    <w:p w:rsidR="00D373A6" w:rsidRPr="00EE651E" w:rsidRDefault="00D373A6" w:rsidP="00D373A6">
      <w:pPr>
        <w:spacing w:line="240" w:lineRule="auto"/>
        <w:jc w:val="center"/>
        <w:rPr>
          <w:noProof/>
          <w:sz w:val="24"/>
          <w:szCs w:val="24"/>
        </w:rPr>
      </w:pPr>
    </w:p>
    <w:p w:rsidR="00D373A6" w:rsidRPr="00EE651E" w:rsidRDefault="00D373A6" w:rsidP="00D373A6">
      <w:pPr>
        <w:spacing w:line="240" w:lineRule="auto"/>
        <w:jc w:val="center"/>
        <w:rPr>
          <w:noProof/>
          <w:sz w:val="24"/>
          <w:szCs w:val="24"/>
        </w:rPr>
      </w:pPr>
      <w:r w:rsidRPr="00EE651E">
        <w:rPr>
          <w:noProof/>
          <w:sz w:val="24"/>
          <w:szCs w:val="24"/>
        </w:rPr>
        <w:lastRenderedPageBreak/>
        <w:drawing>
          <wp:inline distT="0" distB="0" distL="0" distR="0" wp14:anchorId="3F5CFBE4" wp14:editId="6D383DEE">
            <wp:extent cx="2710543" cy="2971800"/>
            <wp:effectExtent l="0" t="0" r="13970" b="19050"/>
            <wp:docPr id="66" name="Chart 66" descr="Participation of GS-13 Employees by Race/Ethnicity ranges from 62.6% for whites, 19.9% for blacks, 3.1% for Hispanics, 13.6% for Asian, and 0.8% for American Indian/Alaska Natives.&#10;" title="Participation of GS-13 Employees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E651E">
        <w:rPr>
          <w:noProof/>
          <w:sz w:val="24"/>
          <w:szCs w:val="24"/>
        </w:rPr>
        <w:t xml:space="preserve"> </w:t>
      </w:r>
      <w:r w:rsidRPr="00EE651E">
        <w:rPr>
          <w:noProof/>
          <w:sz w:val="24"/>
          <w:szCs w:val="24"/>
        </w:rPr>
        <w:drawing>
          <wp:inline distT="0" distB="0" distL="0" distR="0" wp14:anchorId="21ACC714" wp14:editId="7C5E083A">
            <wp:extent cx="2742656" cy="2971800"/>
            <wp:effectExtent l="0" t="0" r="19685" b="19050"/>
            <wp:docPr id="67" name="Chart 67" descr="Participation of GS-14 Employees by Race/Ethnicity ranges from 69.2% for whites, 11.4% for blacks, 2.6% for Hispanics, 16.3% for Asian, and 0.5% for American Indian/Alaska Natives." title="Participation o fGS-14 Employees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73A6" w:rsidRPr="00E90011" w:rsidRDefault="00D373A6" w:rsidP="00D373A6">
      <w:pPr>
        <w:pStyle w:val="NoSpacing"/>
        <w:ind w:left="72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72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720"/>
        <w:rPr>
          <w:rFonts w:ascii="Times New Roman" w:hAnsi="Times New Roman" w:cs="Times New Roman"/>
          <w:sz w:val="16"/>
          <w:szCs w:val="16"/>
        </w:rPr>
      </w:pPr>
      <w:r w:rsidRPr="00E90011">
        <w:rPr>
          <w:rFonts w:ascii="Times New Roman" w:hAnsi="Times New Roman" w:cs="Times New Roman"/>
          <w:sz w:val="16"/>
          <w:szCs w:val="16"/>
        </w:rPr>
        <w:t>Source:  BIIS Table A4-1 as of September 30, 2014</w:t>
      </w:r>
    </w:p>
    <w:p w:rsidR="00D373A6" w:rsidRPr="00EE651E" w:rsidRDefault="00D373A6" w:rsidP="00D373A6">
      <w:pPr>
        <w:spacing w:line="240" w:lineRule="auto"/>
        <w:jc w:val="center"/>
        <w:rPr>
          <w:noProof/>
          <w:sz w:val="24"/>
          <w:szCs w:val="24"/>
        </w:rPr>
      </w:pPr>
    </w:p>
    <w:p w:rsidR="00D373A6" w:rsidRDefault="00D373A6" w:rsidP="00D373A6">
      <w:pPr>
        <w:spacing w:line="240" w:lineRule="auto"/>
        <w:jc w:val="center"/>
        <w:rPr>
          <w:noProof/>
          <w:sz w:val="24"/>
          <w:szCs w:val="24"/>
        </w:rPr>
      </w:pPr>
      <w:r w:rsidRPr="00EE651E">
        <w:rPr>
          <w:noProof/>
          <w:sz w:val="24"/>
          <w:szCs w:val="24"/>
        </w:rPr>
        <w:drawing>
          <wp:inline distT="0" distB="0" distL="0" distR="0" wp14:anchorId="3E6EA197" wp14:editId="3539F5BF">
            <wp:extent cx="2694214" cy="3044825"/>
            <wp:effectExtent l="0" t="0" r="11430" b="22225"/>
            <wp:docPr id="68" name="Chart 68" descr="Participation of GS-15 Employees by Race/Ethnicity ranges from 78.7% for whites, 6.7% for blacks, 3.2% for Hispanics, 11.3% for Asian, and 0.1% for American Indian/Alaska Natives." title="Participation of GS-15 Employees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E651E">
        <w:rPr>
          <w:noProof/>
          <w:sz w:val="24"/>
          <w:szCs w:val="24"/>
        </w:rPr>
        <w:t xml:space="preserve"> </w:t>
      </w:r>
      <w:r w:rsidRPr="00EE651E">
        <w:rPr>
          <w:noProof/>
          <w:sz w:val="24"/>
          <w:szCs w:val="24"/>
        </w:rPr>
        <w:drawing>
          <wp:inline distT="0" distB="0" distL="0" distR="0" wp14:anchorId="0B957CB4" wp14:editId="00DDB07B">
            <wp:extent cx="2726055" cy="3086100"/>
            <wp:effectExtent l="0" t="0" r="17145" b="19050"/>
            <wp:docPr id="69" name="Chart 69" descr="Participation of SES Employees by Race/Ethnicity ranges from 76.2% for whites, 16.7% for blacks, 0.0or Hispanics, 7/1or Asian, and 0.0 for American Indian/Alaska Natives." title="Participation of SES Employees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73A6" w:rsidRPr="00E90011" w:rsidRDefault="00D373A6" w:rsidP="00D373A6">
      <w:pPr>
        <w:pStyle w:val="NoSpacing"/>
        <w:ind w:left="72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72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720"/>
        <w:rPr>
          <w:rFonts w:ascii="Times New Roman" w:hAnsi="Times New Roman" w:cs="Times New Roman"/>
          <w:sz w:val="16"/>
          <w:szCs w:val="16"/>
        </w:rPr>
      </w:pPr>
      <w:r w:rsidRPr="00E90011">
        <w:rPr>
          <w:rFonts w:ascii="Times New Roman" w:hAnsi="Times New Roman" w:cs="Times New Roman"/>
          <w:sz w:val="16"/>
          <w:szCs w:val="16"/>
        </w:rPr>
        <w:t>Source:  BIIS Table A4-1 as of September 30, 2014</w:t>
      </w:r>
    </w:p>
    <w:p w:rsidR="00D373A6" w:rsidRPr="00EE651E" w:rsidRDefault="00D373A6" w:rsidP="00D373A6">
      <w:pPr>
        <w:spacing w:line="240" w:lineRule="auto"/>
        <w:jc w:val="center"/>
        <w:rPr>
          <w:noProof/>
          <w:sz w:val="24"/>
          <w:szCs w:val="24"/>
        </w:rPr>
      </w:pPr>
    </w:p>
    <w:p w:rsidR="00D373A6" w:rsidRPr="00EE651E" w:rsidRDefault="00D373A6" w:rsidP="00D373A6">
      <w:pPr>
        <w:spacing w:line="240" w:lineRule="auto"/>
        <w:jc w:val="center"/>
        <w:rPr>
          <w:noProof/>
          <w:sz w:val="24"/>
          <w:szCs w:val="24"/>
        </w:rPr>
      </w:pPr>
      <w:r w:rsidRPr="00EE651E">
        <w:rPr>
          <w:noProof/>
          <w:sz w:val="24"/>
          <w:szCs w:val="24"/>
        </w:rPr>
        <w:lastRenderedPageBreak/>
        <w:drawing>
          <wp:inline distT="0" distB="0" distL="0" distR="0" wp14:anchorId="53C7FCCE" wp14:editId="3A3A456D">
            <wp:extent cx="2881993" cy="3086100"/>
            <wp:effectExtent l="0" t="0" r="13970" b="19050"/>
            <wp:docPr id="70" name="Chart 70" descr="Participation of Administratively Determined (AD) Employees by Race/Ethnicity ranges from 62.6% for whites, 19.9% for blacks, 3.1% for Hispanics, 13.6% for Asian, and 0.8% for American Indian/Alaska Natives." title="Participation of AD Employees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E651E">
        <w:rPr>
          <w:noProof/>
          <w:sz w:val="24"/>
          <w:szCs w:val="24"/>
        </w:rPr>
        <w:t xml:space="preserve"> </w:t>
      </w:r>
    </w:p>
    <w:p w:rsidR="00D373A6" w:rsidRPr="00E90011" w:rsidRDefault="00D373A6" w:rsidP="00D373A6">
      <w:pPr>
        <w:pStyle w:val="NoSpacing"/>
        <w:ind w:left="216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216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2160"/>
        <w:rPr>
          <w:rFonts w:ascii="Times New Roman" w:hAnsi="Times New Roman" w:cs="Times New Roman"/>
          <w:sz w:val="16"/>
          <w:szCs w:val="16"/>
        </w:rPr>
      </w:pPr>
      <w:r w:rsidRPr="00E90011">
        <w:rPr>
          <w:rFonts w:ascii="Times New Roman" w:hAnsi="Times New Roman" w:cs="Times New Roman"/>
          <w:sz w:val="16"/>
          <w:szCs w:val="16"/>
        </w:rPr>
        <w:t>Source:  BIIS Table A4-1 as of September 30, 2014</w:t>
      </w:r>
    </w:p>
    <w:p w:rsidR="00D373A6" w:rsidRPr="00EE651E" w:rsidRDefault="00D373A6" w:rsidP="00D373A6">
      <w:pPr>
        <w:spacing w:line="240" w:lineRule="auto"/>
        <w:jc w:val="center"/>
        <w:rPr>
          <w:noProof/>
          <w:sz w:val="24"/>
          <w:szCs w:val="24"/>
        </w:rPr>
      </w:pPr>
    </w:p>
    <w:p w:rsidR="00D373A6" w:rsidRPr="00EE651E" w:rsidRDefault="00D373A6" w:rsidP="00D373A6">
      <w:pPr>
        <w:spacing w:line="240" w:lineRule="auto"/>
        <w:jc w:val="center"/>
        <w:rPr>
          <w:noProof/>
          <w:sz w:val="24"/>
          <w:szCs w:val="24"/>
        </w:rPr>
      </w:pPr>
      <w:r w:rsidRPr="00EE651E">
        <w:rPr>
          <w:noProof/>
          <w:sz w:val="24"/>
          <w:szCs w:val="24"/>
        </w:rPr>
        <w:drawing>
          <wp:inline distT="0" distB="0" distL="0" distR="0" wp14:anchorId="68863CB0" wp14:editId="00D320D4">
            <wp:extent cx="2767693" cy="2743200"/>
            <wp:effectExtent l="0" t="0" r="13970" b="19050"/>
            <wp:docPr id="71" name="Chart 71" descr="This bar chart shows the participation of people with targeted disabilities in GS-13, GS-14, GS-15, SES, AD, compared to the total NIH participation of people with targeted disabilities." title="Participation of People with Targeted Disabilities in Selected Pay Pl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73A6" w:rsidRPr="00E90011" w:rsidRDefault="00D373A6" w:rsidP="00D373A6">
      <w:pPr>
        <w:pStyle w:val="NoSpacing"/>
        <w:ind w:left="216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216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2160"/>
        <w:rPr>
          <w:rFonts w:ascii="Times New Roman" w:hAnsi="Times New Roman" w:cs="Times New Roman"/>
          <w:sz w:val="16"/>
          <w:szCs w:val="16"/>
        </w:rPr>
      </w:pPr>
      <w:r w:rsidRPr="00E90011">
        <w:rPr>
          <w:rFonts w:ascii="Times New Roman" w:hAnsi="Times New Roman" w:cs="Times New Roman"/>
          <w:sz w:val="16"/>
          <w:szCs w:val="16"/>
        </w:rPr>
        <w:t>Source:  BIIS Table B4-1 as of September 30, 2014</w:t>
      </w:r>
    </w:p>
    <w:p w:rsidR="00D373A6" w:rsidRPr="00EE651E" w:rsidRDefault="00D373A6" w:rsidP="00D373A6">
      <w:pPr>
        <w:spacing w:line="240" w:lineRule="auto"/>
        <w:jc w:val="center"/>
        <w:rPr>
          <w:noProof/>
          <w:sz w:val="24"/>
          <w:szCs w:val="24"/>
        </w:rPr>
      </w:pPr>
    </w:p>
    <w:p w:rsidR="00D373A6" w:rsidRPr="00EE651E" w:rsidRDefault="00D373A6" w:rsidP="00D373A6">
      <w:pPr>
        <w:spacing w:line="240" w:lineRule="auto"/>
        <w:jc w:val="center"/>
        <w:rPr>
          <w:noProof/>
          <w:sz w:val="24"/>
          <w:szCs w:val="24"/>
        </w:rPr>
      </w:pPr>
      <w:r>
        <w:rPr>
          <w:noProof/>
        </w:rPr>
        <w:lastRenderedPageBreak/>
        <w:drawing>
          <wp:inline distT="0" distB="0" distL="0" distR="0" wp14:anchorId="3E9F2647" wp14:editId="7A8C53A6">
            <wp:extent cx="5943600" cy="2458085"/>
            <wp:effectExtent l="0" t="0" r="19050" b="18415"/>
            <wp:docPr id="72" name="Chart 72" descr="This stacked bar chart shows participation Rates for Permanent Tenure Men and Women in Management Positions as compared to the NIH total permanent workforce.&#10;" title="Participation Rates for Permanent Tenure Men and Women in Management Pos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1440"/>
        <w:rPr>
          <w:rFonts w:ascii="Times New Roman" w:hAnsi="Times New Roman" w:cs="Times New Roman"/>
          <w:sz w:val="16"/>
          <w:szCs w:val="16"/>
        </w:rPr>
      </w:pPr>
      <w:r>
        <w:rPr>
          <w:rFonts w:ascii="Times New Roman" w:hAnsi="Times New Roman" w:cs="Times New Roman"/>
          <w:sz w:val="16"/>
          <w:szCs w:val="16"/>
        </w:rPr>
        <w:t>Source:  BIIS Table A1 and A</w:t>
      </w:r>
      <w:r w:rsidRPr="00E90011">
        <w:rPr>
          <w:rFonts w:ascii="Times New Roman" w:hAnsi="Times New Roman" w:cs="Times New Roman"/>
          <w:sz w:val="16"/>
          <w:szCs w:val="16"/>
        </w:rPr>
        <w:t>3-1 as of September 30, 2014</w:t>
      </w:r>
    </w:p>
    <w:p w:rsidR="00D373A6" w:rsidRPr="00EE651E" w:rsidRDefault="00D373A6" w:rsidP="00D373A6">
      <w:pPr>
        <w:spacing w:line="240" w:lineRule="auto"/>
        <w:jc w:val="center"/>
        <w:rPr>
          <w:noProof/>
          <w:sz w:val="24"/>
          <w:szCs w:val="24"/>
        </w:rPr>
      </w:pPr>
    </w:p>
    <w:p w:rsidR="00D373A6" w:rsidRPr="00EE651E" w:rsidRDefault="00D373A6" w:rsidP="00D373A6">
      <w:pPr>
        <w:spacing w:line="240" w:lineRule="auto"/>
        <w:jc w:val="center"/>
        <w:rPr>
          <w:noProof/>
          <w:sz w:val="24"/>
          <w:szCs w:val="24"/>
        </w:rPr>
      </w:pPr>
      <w:r>
        <w:rPr>
          <w:noProof/>
        </w:rPr>
        <w:drawing>
          <wp:inline distT="0" distB="0" distL="0" distR="0" wp14:anchorId="7471F526" wp14:editId="52D69795">
            <wp:extent cx="5943600" cy="2478405"/>
            <wp:effectExtent l="0" t="0" r="19050" b="17145"/>
            <wp:docPr id="73" name="Chart 73" descr="This bar chart shows the participation Rates for Permanent Tenure Hispanics in Management Positions, which range from 1.3% to 3.5%, as compared to the NIH total permanent workforce participation of 3.0%.&#10;" title="Participation Rates for Permanent Tenure Hispanics in Management Pos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Source:  BIIS Table A3-1 as of September 30, 2014</w:t>
      </w:r>
    </w:p>
    <w:p w:rsidR="00D373A6" w:rsidRPr="00EE651E" w:rsidRDefault="00D373A6" w:rsidP="00D373A6">
      <w:pPr>
        <w:spacing w:line="240" w:lineRule="auto"/>
        <w:jc w:val="center"/>
        <w:rPr>
          <w:noProof/>
          <w:sz w:val="24"/>
          <w:szCs w:val="24"/>
        </w:rPr>
      </w:pPr>
    </w:p>
    <w:p w:rsidR="00D373A6" w:rsidRPr="00EE651E" w:rsidRDefault="00D373A6" w:rsidP="00D373A6">
      <w:pPr>
        <w:spacing w:line="240" w:lineRule="auto"/>
        <w:jc w:val="center"/>
        <w:rPr>
          <w:noProof/>
          <w:sz w:val="24"/>
          <w:szCs w:val="24"/>
        </w:rPr>
      </w:pPr>
      <w:r>
        <w:rPr>
          <w:noProof/>
        </w:rPr>
        <w:lastRenderedPageBreak/>
        <w:drawing>
          <wp:inline distT="0" distB="0" distL="0" distR="0" wp14:anchorId="0D8214CF" wp14:editId="52650F55">
            <wp:extent cx="5943600" cy="2496820"/>
            <wp:effectExtent l="0" t="0" r="19050" b="17780"/>
            <wp:docPr id="74" name="Chart 74" descr="This bar chart shows the Participation Rates for Permanent Tenure American Indian/Alaska Natives in Management Positions, which range from 1.3% to 0.3%, as compared to their participation in the NIH total permanent workfroce of 0.7%.&#10;" title="Participation Rates for Permanent Tenure AI/AN's in Management Pos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 xml:space="preserve">Source:  BIIS Table </w:t>
      </w:r>
      <w:r>
        <w:rPr>
          <w:rFonts w:ascii="Times New Roman" w:hAnsi="Times New Roman" w:cs="Times New Roman"/>
          <w:sz w:val="16"/>
          <w:szCs w:val="16"/>
        </w:rPr>
        <w:t>A1 and A</w:t>
      </w:r>
      <w:r w:rsidRPr="00E90011">
        <w:rPr>
          <w:rFonts w:ascii="Times New Roman" w:hAnsi="Times New Roman" w:cs="Times New Roman"/>
          <w:sz w:val="16"/>
          <w:szCs w:val="16"/>
        </w:rPr>
        <w:t>3-1 as of September 30, 2014</w:t>
      </w:r>
    </w:p>
    <w:p w:rsidR="00D373A6" w:rsidRDefault="00D373A6" w:rsidP="00D373A6">
      <w:pPr>
        <w:pStyle w:val="NoSpacing"/>
        <w:ind w:left="1440"/>
        <w:rPr>
          <w:rFonts w:ascii="Times New Roman" w:hAnsi="Times New Roman" w:cs="Times New Roman"/>
          <w:sz w:val="16"/>
          <w:szCs w:val="16"/>
        </w:rPr>
      </w:pPr>
    </w:p>
    <w:p w:rsidR="00D373A6" w:rsidRPr="00E90011" w:rsidRDefault="00D373A6" w:rsidP="00D373A6">
      <w:pPr>
        <w:pStyle w:val="NoSpacing"/>
        <w:rPr>
          <w:rFonts w:ascii="Times New Roman" w:hAnsi="Times New Roman" w:cs="Times New Roman"/>
          <w:sz w:val="16"/>
          <w:szCs w:val="16"/>
        </w:rPr>
      </w:pPr>
      <w:r>
        <w:rPr>
          <w:noProof/>
        </w:rPr>
        <w:drawing>
          <wp:inline distT="0" distB="0" distL="0" distR="0" wp14:anchorId="0A0A0A52" wp14:editId="3E3AA87B">
            <wp:extent cx="5943600" cy="2473960"/>
            <wp:effectExtent l="0" t="0" r="19050" b="21590"/>
            <wp:docPr id="75" name="Chart 75" descr="This bar chart shows the Participation Rates for Permanent Tenure Blacks in Management Positions, which range from 7.9% to 45.5%, as compared to the NIH total permanent workforce participation rate of 24.7%.&#10;" title="Participation Rates for Permanent Tenure Blacks in Management Pos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73A6" w:rsidRDefault="00D373A6" w:rsidP="00D373A6">
      <w:pPr>
        <w:pStyle w:val="NoSpacing"/>
        <w:ind w:left="1440"/>
        <w:rPr>
          <w:rFonts w:ascii="Times New Roman" w:hAnsi="Times New Roman" w:cs="Times New Roman"/>
          <w:sz w:val="16"/>
          <w:szCs w:val="16"/>
        </w:rPr>
      </w:pP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 xml:space="preserve">Source:  BIIS Table </w:t>
      </w:r>
      <w:r>
        <w:rPr>
          <w:rFonts w:ascii="Times New Roman" w:hAnsi="Times New Roman" w:cs="Times New Roman"/>
          <w:sz w:val="16"/>
          <w:szCs w:val="16"/>
        </w:rPr>
        <w:t>A1 and A</w:t>
      </w:r>
      <w:r w:rsidRPr="00E90011">
        <w:rPr>
          <w:rFonts w:ascii="Times New Roman" w:hAnsi="Times New Roman" w:cs="Times New Roman"/>
          <w:sz w:val="16"/>
          <w:szCs w:val="16"/>
        </w:rPr>
        <w:t>3-1 as of September 30, 2014</w:t>
      </w:r>
    </w:p>
    <w:p w:rsidR="00D373A6" w:rsidRDefault="00D373A6" w:rsidP="00D373A6">
      <w:pPr>
        <w:pStyle w:val="NoSpacing"/>
        <w:ind w:left="1440"/>
        <w:rPr>
          <w:rFonts w:ascii="Times New Roman" w:hAnsi="Times New Roman" w:cs="Times New Roman"/>
          <w:sz w:val="16"/>
          <w:szCs w:val="16"/>
        </w:rPr>
      </w:pPr>
    </w:p>
    <w:p w:rsidR="00D373A6" w:rsidRPr="00E90011" w:rsidRDefault="00D373A6" w:rsidP="00D373A6">
      <w:pPr>
        <w:pStyle w:val="NoSpacing"/>
        <w:rPr>
          <w:rFonts w:ascii="Times New Roman" w:hAnsi="Times New Roman" w:cs="Times New Roman"/>
          <w:sz w:val="16"/>
          <w:szCs w:val="16"/>
        </w:rPr>
      </w:pPr>
      <w:r>
        <w:rPr>
          <w:noProof/>
        </w:rPr>
        <w:lastRenderedPageBreak/>
        <w:drawing>
          <wp:inline distT="0" distB="0" distL="0" distR="0" wp14:anchorId="6B5E5577" wp14:editId="1D01ADD2">
            <wp:extent cx="5943600" cy="2500630"/>
            <wp:effectExtent l="0" t="0" r="19050" b="13970"/>
            <wp:docPr id="76" name="Chart 76" descr="This bar chart shows the Participation Rates for Permanent Tenure Whites in Management Positions, which range from 48.1% to 79.6%, as compared to the participation in the NIH total permanent workforce of 50.2%.&#10;" title="Participation Rates for Permanent Tenure Whites in Management Pos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373A6" w:rsidRDefault="00D373A6" w:rsidP="00D373A6">
      <w:pPr>
        <w:pStyle w:val="NoSpacing"/>
        <w:ind w:left="1440"/>
        <w:rPr>
          <w:rFonts w:ascii="Times New Roman" w:hAnsi="Times New Roman" w:cs="Times New Roman"/>
          <w:sz w:val="16"/>
          <w:szCs w:val="16"/>
        </w:rPr>
      </w:pP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Source:  BIIS Table</w:t>
      </w:r>
      <w:r>
        <w:rPr>
          <w:rFonts w:ascii="Times New Roman" w:hAnsi="Times New Roman" w:cs="Times New Roman"/>
          <w:sz w:val="16"/>
          <w:szCs w:val="16"/>
        </w:rPr>
        <w:t xml:space="preserve"> A1 and A</w:t>
      </w:r>
      <w:r w:rsidRPr="00E90011">
        <w:rPr>
          <w:rFonts w:ascii="Times New Roman" w:hAnsi="Times New Roman" w:cs="Times New Roman"/>
          <w:sz w:val="16"/>
          <w:szCs w:val="16"/>
        </w:rPr>
        <w:t>3-1 as of September 30, 2014</w:t>
      </w:r>
    </w:p>
    <w:p w:rsidR="00D373A6" w:rsidRDefault="00D373A6" w:rsidP="00D373A6">
      <w:pPr>
        <w:pStyle w:val="NoSpacing"/>
        <w:rPr>
          <w:rFonts w:ascii="Times New Roman" w:hAnsi="Times New Roman" w:cs="Times New Roman"/>
          <w:sz w:val="16"/>
          <w:szCs w:val="16"/>
        </w:rPr>
      </w:pPr>
    </w:p>
    <w:p w:rsidR="00D373A6" w:rsidRPr="00E90011" w:rsidRDefault="00D373A6" w:rsidP="00D373A6">
      <w:pPr>
        <w:pStyle w:val="NoSpacing"/>
        <w:rPr>
          <w:rFonts w:ascii="Times New Roman" w:hAnsi="Times New Roman" w:cs="Times New Roman"/>
          <w:sz w:val="16"/>
          <w:szCs w:val="16"/>
        </w:rPr>
      </w:pPr>
      <w:r>
        <w:rPr>
          <w:noProof/>
        </w:rPr>
        <w:drawing>
          <wp:inline distT="0" distB="0" distL="0" distR="0" wp14:anchorId="647600DE" wp14:editId="1E0C2B9A">
            <wp:extent cx="5943600" cy="2648585"/>
            <wp:effectExtent l="0" t="0" r="19050" b="18415"/>
            <wp:docPr id="77" name="Chart 77" descr="This bar chart shows the participation rates for permanent tenure asians in management positions, which ranges from 3.8% to 11.7%, as compared to the participation rate in the NIH total permanent workforce of 11.7%." title="Participation Rates for Permanent Tenure Asians in Management Pos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373A6" w:rsidRDefault="00D373A6" w:rsidP="00D373A6">
      <w:pPr>
        <w:pStyle w:val="NoSpacing"/>
        <w:ind w:left="1440"/>
        <w:rPr>
          <w:rFonts w:ascii="Times New Roman" w:hAnsi="Times New Roman" w:cs="Times New Roman"/>
          <w:sz w:val="16"/>
          <w:szCs w:val="16"/>
        </w:rPr>
      </w:pPr>
    </w:p>
    <w:p w:rsidR="00D373A6" w:rsidRPr="00E90011" w:rsidRDefault="00D373A6" w:rsidP="00D373A6">
      <w:pPr>
        <w:pStyle w:val="NoSpacing"/>
        <w:ind w:left="1440"/>
        <w:rPr>
          <w:rFonts w:ascii="Times New Roman" w:eastAsia="MS Mincho" w:hAnsi="Times New Roman" w:cs="Times New Roman"/>
          <w:sz w:val="16"/>
          <w:szCs w:val="16"/>
        </w:rPr>
      </w:pPr>
      <w:r w:rsidRPr="00E90011">
        <w:rPr>
          <w:rFonts w:ascii="Times New Roman" w:hAnsi="Times New Roman" w:cs="Times New Roman"/>
          <w:sz w:val="16"/>
          <w:szCs w:val="16"/>
        </w:rPr>
        <w:t>Commissioned Corps and Foreign Nationals overseas are not included</w:t>
      </w:r>
    </w:p>
    <w:p w:rsidR="00D373A6" w:rsidRPr="00E90011" w:rsidRDefault="00D373A6" w:rsidP="00D373A6">
      <w:pPr>
        <w:pStyle w:val="NoSpacing"/>
        <w:ind w:left="1440"/>
        <w:rPr>
          <w:rFonts w:ascii="Times New Roman" w:hAnsi="Times New Roman" w:cs="Times New Roman"/>
          <w:sz w:val="16"/>
          <w:szCs w:val="16"/>
        </w:rPr>
      </w:pPr>
      <w:r w:rsidRPr="00E90011">
        <w:rPr>
          <w:rFonts w:ascii="Times New Roman" w:hAnsi="Times New Roman" w:cs="Times New Roman"/>
          <w:sz w:val="16"/>
          <w:szCs w:val="16"/>
        </w:rPr>
        <w:t>Permanent is Tenure 1 or 2 or pay plan ES or RS. Temporary is everyone who is not permanent.</w:t>
      </w:r>
    </w:p>
    <w:p w:rsidR="00D373A6" w:rsidRPr="00E90011" w:rsidRDefault="00D373A6" w:rsidP="00D373A6">
      <w:pPr>
        <w:pStyle w:val="NoSpacing"/>
        <w:ind w:left="1440"/>
        <w:rPr>
          <w:rFonts w:ascii="Times New Roman" w:hAnsi="Times New Roman" w:cs="Times New Roman"/>
          <w:sz w:val="16"/>
          <w:szCs w:val="16"/>
        </w:rPr>
      </w:pPr>
      <w:r>
        <w:rPr>
          <w:rFonts w:ascii="Times New Roman" w:hAnsi="Times New Roman" w:cs="Times New Roman"/>
          <w:sz w:val="16"/>
          <w:szCs w:val="16"/>
        </w:rPr>
        <w:t>Source:  BIIS Table A1 and A</w:t>
      </w:r>
      <w:r w:rsidRPr="00E90011">
        <w:rPr>
          <w:rFonts w:ascii="Times New Roman" w:hAnsi="Times New Roman" w:cs="Times New Roman"/>
          <w:sz w:val="16"/>
          <w:szCs w:val="16"/>
        </w:rPr>
        <w:t>3-1 as of September 30, 2014</w:t>
      </w:r>
    </w:p>
    <w:p w:rsidR="00D373A6" w:rsidRPr="00EE651E" w:rsidRDefault="00D373A6" w:rsidP="00D373A6">
      <w:pPr>
        <w:spacing w:line="240" w:lineRule="auto"/>
        <w:jc w:val="center"/>
        <w:rPr>
          <w:noProof/>
          <w:sz w:val="24"/>
          <w:szCs w:val="24"/>
        </w:rPr>
      </w:pPr>
    </w:p>
    <w:p w:rsidR="00D373A6" w:rsidRDefault="00D373A6" w:rsidP="00D373A6">
      <w:pPr>
        <w:spacing w:after="0" w:line="240" w:lineRule="auto"/>
        <w:rPr>
          <w:rFonts w:ascii="Times New Roman" w:eastAsiaTheme="majorEastAsia" w:hAnsi="Times New Roman" w:cs="Times New Roman"/>
          <w:b/>
          <w:bCs/>
          <w:color w:val="365F91" w:themeColor="accent1" w:themeShade="BF"/>
          <w:sz w:val="24"/>
          <w:szCs w:val="24"/>
        </w:rPr>
      </w:pPr>
      <w:bookmarkStart w:id="35" w:name="_Toc281646731"/>
      <w:bookmarkStart w:id="36" w:name="_Toc282169733"/>
      <w:bookmarkStart w:id="37" w:name="_Toc283564190"/>
      <w:bookmarkStart w:id="38" w:name="_Toc281476818"/>
      <w:bookmarkStart w:id="39" w:name="_Toc281482919"/>
      <w:r>
        <w:br w:type="page"/>
      </w:r>
    </w:p>
    <w:p w:rsidR="00D373A6" w:rsidRPr="00EE651E" w:rsidRDefault="00D373A6" w:rsidP="00D373A6">
      <w:pPr>
        <w:pStyle w:val="Heading1"/>
      </w:pPr>
      <w:bookmarkStart w:id="40" w:name="_Toc411523429"/>
      <w:r w:rsidRPr="00EE651E">
        <w:lastRenderedPageBreak/>
        <w:t>Applicant Flow</w:t>
      </w:r>
      <w:bookmarkEnd w:id="35"/>
      <w:bookmarkEnd w:id="36"/>
      <w:bookmarkEnd w:id="37"/>
      <w:bookmarkEnd w:id="40"/>
    </w:p>
    <w:p w:rsidR="00D373A6" w:rsidRPr="00EE651E" w:rsidRDefault="00D373A6" w:rsidP="00D373A6">
      <w:pPr>
        <w:spacing w:line="240" w:lineRule="auto"/>
        <w:rPr>
          <w:rFonts w:ascii="Times New Roman" w:hAnsi="Times New Roman" w:cs="Times New Roman"/>
          <w:color w:val="000000"/>
          <w:sz w:val="24"/>
          <w:szCs w:val="24"/>
        </w:rPr>
      </w:pPr>
      <w:r w:rsidRPr="00EE651E">
        <w:rPr>
          <w:rFonts w:ascii="Times New Roman" w:hAnsi="Times New Roman" w:cs="Times New Roman"/>
          <w:color w:val="000000"/>
          <w:sz w:val="24"/>
          <w:szCs w:val="24"/>
        </w:rPr>
        <w:br/>
        <w:t xml:space="preserve">The Department of Health and Human Services (DHHS) worked with the Office of Personal Management in FY 2014 to obtain applicant flow data from USAJOBS. Once this information was obtained, the NIH conducted appropriate analysis by applicants who voluntarily identified their race/ethnicity and/or sex, those applicants who were qualified and identified their race/ethnicity and/or sex, and applicant who were selected and identified their race/ethnicity and/or sex. USAJOBS Applicant flow data does not include applicants who applied for Title 42 jobs. </w:t>
      </w:r>
    </w:p>
    <w:p w:rsidR="00D373A6" w:rsidRDefault="00D373A6" w:rsidP="00D373A6">
      <w:pPr>
        <w:spacing w:line="240" w:lineRule="auto"/>
        <w:rPr>
          <w:rFonts w:ascii="Times New Roman" w:hAnsi="Times New Roman" w:cs="Times New Roman"/>
          <w:color w:val="000000"/>
          <w:sz w:val="24"/>
          <w:szCs w:val="24"/>
        </w:rPr>
      </w:pPr>
      <w:r w:rsidRPr="00EE651E">
        <w:rPr>
          <w:rFonts w:ascii="Times New Roman" w:hAnsi="Times New Roman" w:cs="Times New Roman"/>
          <w:color w:val="000000"/>
          <w:sz w:val="24"/>
          <w:szCs w:val="24"/>
        </w:rPr>
        <w:t>Analyses conducted included applicant demographics such as race/ethnicity, sex, occupational series, pay plan and grade level. These analyses illustrated which jobs applicants were applying to and what the selected applicant pool looked like in regards to race/ethnicity and sex. Further statistical analyses will be conducted in FY</w:t>
      </w:r>
      <w:r w:rsidR="00406653">
        <w:rPr>
          <w:rFonts w:ascii="Times New Roman" w:hAnsi="Times New Roman" w:cs="Times New Roman"/>
          <w:color w:val="000000"/>
          <w:sz w:val="24"/>
          <w:szCs w:val="24"/>
        </w:rPr>
        <w:t xml:space="preserve"> 20</w:t>
      </w:r>
      <w:r w:rsidRPr="00EE651E">
        <w:rPr>
          <w:rFonts w:ascii="Times New Roman" w:hAnsi="Times New Roman" w:cs="Times New Roman"/>
          <w:color w:val="000000"/>
          <w:sz w:val="24"/>
          <w:szCs w:val="24"/>
        </w:rPr>
        <w:t>15. The charts below display applicant flow data as compared to the 2010 CLF and the NIH workforce.</w:t>
      </w:r>
    </w:p>
    <w:p w:rsidR="00D373A6" w:rsidRPr="0052650A" w:rsidRDefault="00D373A6" w:rsidP="00D373A6">
      <w:pPr>
        <w:spacing w:line="240" w:lineRule="auto"/>
        <w:jc w:val="center"/>
        <w:rPr>
          <w:rStyle w:val="IntenseEmphasis"/>
          <w:i w:val="0"/>
        </w:rPr>
      </w:pPr>
      <w:r w:rsidRPr="0052650A">
        <w:rPr>
          <w:rStyle w:val="IntenseEmphasis"/>
          <w:i w:val="0"/>
        </w:rPr>
        <w:t>NIH Applicants Selected Percentages Compared to NIH Workforce &amp; CLF</w:t>
      </w:r>
    </w:p>
    <w:p w:rsidR="00D373A6" w:rsidRPr="00EE651E" w:rsidRDefault="00D373A6" w:rsidP="00D373A6">
      <w:pPr>
        <w:spacing w:line="240" w:lineRule="auto"/>
        <w:jc w:val="center"/>
        <w:rPr>
          <w:rFonts w:ascii="Times New Roman" w:hAnsi="Times New Roman" w:cs="Times New Roman"/>
          <w:color w:val="000000"/>
          <w:sz w:val="24"/>
          <w:szCs w:val="24"/>
        </w:rPr>
      </w:pPr>
      <w:r w:rsidRPr="00EE651E">
        <w:rPr>
          <w:rFonts w:ascii="Times New Roman" w:hAnsi="Times New Roman" w:cs="Times New Roman"/>
          <w:noProof/>
          <w:color w:val="000000"/>
          <w:sz w:val="24"/>
          <w:szCs w:val="24"/>
        </w:rPr>
        <w:drawing>
          <wp:inline distT="0" distB="0" distL="0" distR="0" wp14:anchorId="53F17C73" wp14:editId="724028E2">
            <wp:extent cx="5486400" cy="4504267"/>
            <wp:effectExtent l="0" t="0" r="19050" b="10795"/>
            <wp:docPr id="78" name="Chart 78" descr="This bar chart shows the NIH Applicants Selected Percentages for males and females compared to the NIH Workforce &amp; CLF." title="NIH Applicants Selected Percentages Compared to NIH Workforce &amp; CLF"/>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73A6" w:rsidRDefault="00D373A6" w:rsidP="00D373A6">
      <w:pPr>
        <w:spacing w:line="240" w:lineRule="auto"/>
        <w:jc w:val="center"/>
        <w:rPr>
          <w:rStyle w:val="IntenseEmphasis"/>
        </w:rPr>
      </w:pPr>
    </w:p>
    <w:p w:rsidR="00D373A6" w:rsidRDefault="00D373A6" w:rsidP="00D373A6">
      <w:pPr>
        <w:spacing w:line="240" w:lineRule="auto"/>
        <w:jc w:val="center"/>
        <w:rPr>
          <w:rStyle w:val="IntenseEmphasis"/>
        </w:rPr>
      </w:pPr>
    </w:p>
    <w:p w:rsidR="00D373A6" w:rsidRPr="0052650A" w:rsidRDefault="00D373A6" w:rsidP="00D373A6">
      <w:pPr>
        <w:spacing w:line="240" w:lineRule="auto"/>
        <w:jc w:val="center"/>
        <w:rPr>
          <w:rStyle w:val="IntenseEmphasis"/>
          <w:i w:val="0"/>
        </w:rPr>
      </w:pPr>
      <w:r w:rsidRPr="0052650A">
        <w:rPr>
          <w:rStyle w:val="IntenseEmphasis"/>
          <w:i w:val="0"/>
        </w:rPr>
        <w:lastRenderedPageBreak/>
        <w:t xml:space="preserve">NIH Applicants Selected Percentages Compared to NIH Workforce &amp; CLF </w:t>
      </w:r>
    </w:p>
    <w:p w:rsidR="00D373A6" w:rsidRPr="00EE651E" w:rsidRDefault="00D373A6" w:rsidP="00D373A6">
      <w:pPr>
        <w:spacing w:line="240" w:lineRule="auto"/>
        <w:rPr>
          <w:rFonts w:ascii="Times New Roman" w:hAnsi="Times New Roman" w:cs="Times New Roman"/>
          <w:color w:val="000000"/>
          <w:sz w:val="24"/>
          <w:szCs w:val="24"/>
        </w:rPr>
      </w:pPr>
      <w:r w:rsidRPr="00EE651E">
        <w:rPr>
          <w:rFonts w:ascii="Times New Roman" w:hAnsi="Times New Roman" w:cs="Times New Roman"/>
          <w:noProof/>
          <w:color w:val="000000"/>
          <w:sz w:val="24"/>
          <w:szCs w:val="24"/>
        </w:rPr>
        <w:drawing>
          <wp:inline distT="0" distB="0" distL="0" distR="0" wp14:anchorId="226D4F87" wp14:editId="5690B766">
            <wp:extent cx="5829300" cy="4682067"/>
            <wp:effectExtent l="0" t="0" r="19050" b="23495"/>
            <wp:docPr id="79" name="Chart 79" descr="This bar chart shows the race and ethnicity of NIH Applicants Selected Percentages Compared to NIH Workforce &amp; CLF.  " title="NIH Applicants Selected Percentages Compared to NIH Workforce &amp; CLF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EE651E">
        <w:rPr>
          <w:rFonts w:ascii="Times New Roman" w:hAnsi="Times New Roman" w:cs="Times New Roman"/>
          <w:color w:val="000000"/>
          <w:sz w:val="24"/>
          <w:szCs w:val="24"/>
        </w:rPr>
        <w:br/>
      </w:r>
      <w:r w:rsidRPr="00EE651E">
        <w:rPr>
          <w:rFonts w:ascii="Times New Roman" w:hAnsi="Times New Roman" w:cs="Times New Roman"/>
          <w:bCs/>
          <w:color w:val="000000"/>
          <w:sz w:val="24"/>
          <w:szCs w:val="24"/>
        </w:rPr>
        <w:t>*NIH combines Asian and Pacific Islander categories; NIH does not report out on Multiple Races.</w:t>
      </w:r>
      <w:r>
        <w:rPr>
          <w:rFonts w:ascii="Times New Roman" w:hAnsi="Times New Roman" w:cs="Times New Roman"/>
          <w:bCs/>
          <w:color w:val="000000"/>
          <w:sz w:val="24"/>
          <w:szCs w:val="24"/>
        </w:rPr>
        <w:t xml:space="preserve"> </w:t>
      </w:r>
      <w:r w:rsidRPr="00EE651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NIH applicant data is received externally via USAJOBS.</w:t>
      </w:r>
    </w:p>
    <w:p w:rsidR="00D373A6" w:rsidRPr="00EE651E" w:rsidRDefault="00D373A6" w:rsidP="00D373A6">
      <w:pPr>
        <w:pStyle w:val="Heading1"/>
      </w:pPr>
      <w:bookmarkStart w:id="41" w:name="_Toc281646732"/>
      <w:bookmarkStart w:id="42" w:name="_Toc282169734"/>
      <w:bookmarkStart w:id="43" w:name="_Toc283564191"/>
      <w:bookmarkStart w:id="44" w:name="_Toc411523430"/>
      <w:r w:rsidRPr="00EE651E">
        <w:t>Mission Critical Occupations</w:t>
      </w:r>
      <w:bookmarkEnd w:id="38"/>
      <w:bookmarkEnd w:id="39"/>
      <w:bookmarkEnd w:id="41"/>
      <w:bookmarkEnd w:id="42"/>
      <w:bookmarkEnd w:id="43"/>
      <w:bookmarkEnd w:id="44"/>
      <w:r w:rsidRPr="00EE651E">
        <w:br/>
      </w:r>
    </w:p>
    <w:p w:rsidR="00D373A6" w:rsidRPr="00EE651E" w:rsidRDefault="00D373A6" w:rsidP="00D373A6">
      <w:pPr>
        <w:spacing w:line="240" w:lineRule="auto"/>
        <w:rPr>
          <w:rFonts w:ascii="Times New Roman" w:hAnsi="Times New Roman" w:cs="Times New Roman"/>
          <w:color w:val="000000"/>
          <w:sz w:val="24"/>
          <w:szCs w:val="24"/>
        </w:rPr>
      </w:pPr>
      <w:r w:rsidRPr="00FC3A47">
        <w:rPr>
          <w:rFonts w:ascii="Times New Roman" w:hAnsi="Times New Roman" w:cs="Times New Roman"/>
          <w:color w:val="000000"/>
          <w:sz w:val="24"/>
          <w:szCs w:val="24"/>
        </w:rPr>
        <w:t>EEOC has instructed agencies to analyze mission critical occupations to ensure that there are not groups of people who fail to reach the senior grade levels within these occupations, as well as individuals in an EEO group who are unable to obtain employment in mission critical occupations. For additional information, please see Mission Critical Tables A/B 6, New Hires Tables A/B 7, and Permanent Selections Tables A/B 9.</w:t>
      </w:r>
    </w:p>
    <w:p w:rsidR="00D373A6" w:rsidRPr="00EE651E" w:rsidRDefault="00D373A6" w:rsidP="00D373A6">
      <w:pPr>
        <w:spacing w:line="240" w:lineRule="auto"/>
        <w:rPr>
          <w:rFonts w:ascii="Times New Roman" w:hAnsi="Times New Roman" w:cs="Times New Roman"/>
          <w:color w:val="000000"/>
          <w:sz w:val="24"/>
          <w:szCs w:val="24"/>
        </w:rPr>
      </w:pPr>
      <w:r w:rsidRPr="00EE651E">
        <w:rPr>
          <w:rFonts w:ascii="Times New Roman" w:hAnsi="Times New Roman" w:cs="Times New Roman"/>
          <w:color w:val="000000"/>
          <w:sz w:val="24"/>
          <w:szCs w:val="24"/>
        </w:rPr>
        <w:t xml:space="preserve">NIH’s most populous or “mission critical” occupations include: 0601 General Health Science, 0401 General Biological Science </w:t>
      </w:r>
      <w:r w:rsidRPr="00EE651E">
        <w:rPr>
          <w:rFonts w:ascii="Times New Roman" w:eastAsia="Times New Roman" w:hAnsi="Times New Roman" w:cs="Times New Roman"/>
          <w:color w:val="000000"/>
          <w:sz w:val="24"/>
          <w:szCs w:val="24"/>
        </w:rPr>
        <w:t>0301 Misc. Admin/Program</w:t>
      </w:r>
      <w:r w:rsidRPr="00EE651E">
        <w:rPr>
          <w:rFonts w:ascii="Times New Roman" w:hAnsi="Times New Roman" w:cs="Times New Roman"/>
          <w:color w:val="000000"/>
          <w:sz w:val="24"/>
          <w:szCs w:val="24"/>
        </w:rPr>
        <w:t>, 0610 Nursing, and 0602 Medical Officer. Certain groups within these mission critical occupations experienced lower than expected participation rates as compared to the</w:t>
      </w:r>
      <w:r>
        <w:rPr>
          <w:rFonts w:ascii="Times New Roman" w:hAnsi="Times New Roman" w:cs="Times New Roman"/>
          <w:color w:val="000000"/>
          <w:sz w:val="24"/>
          <w:szCs w:val="24"/>
        </w:rPr>
        <w:t xml:space="preserve"> Relevant Civilian Labor Force</w:t>
      </w:r>
      <w:r w:rsidRPr="00EE65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EE651E">
        <w:rPr>
          <w:rFonts w:ascii="Times New Roman" w:hAnsi="Times New Roman" w:cs="Times New Roman"/>
          <w:color w:val="000000"/>
          <w:sz w:val="24"/>
          <w:szCs w:val="24"/>
        </w:rPr>
        <w:t>RCLF</w:t>
      </w:r>
      <w:r>
        <w:rPr>
          <w:rFonts w:ascii="Times New Roman" w:hAnsi="Times New Roman" w:cs="Times New Roman"/>
          <w:color w:val="000000"/>
          <w:sz w:val="24"/>
          <w:szCs w:val="24"/>
        </w:rPr>
        <w:t>, which is 2010 US Census Data with EEOC’s occupational series crosswalk and guidance)</w:t>
      </w:r>
      <w:r w:rsidRPr="00EE651E">
        <w:rPr>
          <w:rFonts w:ascii="Times New Roman" w:hAnsi="Times New Roman" w:cs="Times New Roman"/>
          <w:color w:val="000000"/>
          <w:sz w:val="24"/>
          <w:szCs w:val="24"/>
        </w:rPr>
        <w:t>: Hispanics, Asians, Whites, AI/AN males, Black males, and males overall.</w:t>
      </w:r>
      <w:r>
        <w:rPr>
          <w:rFonts w:ascii="Times New Roman" w:hAnsi="Times New Roman" w:cs="Times New Roman"/>
          <w:color w:val="000000"/>
          <w:sz w:val="24"/>
          <w:szCs w:val="24"/>
        </w:rPr>
        <w:t xml:space="preserve"> </w:t>
      </w:r>
      <w:r w:rsidRPr="00EE651E">
        <w:rPr>
          <w:rFonts w:ascii="Times New Roman" w:hAnsi="Times New Roman" w:cs="Times New Roman"/>
          <w:color w:val="000000"/>
          <w:sz w:val="24"/>
          <w:szCs w:val="24"/>
        </w:rPr>
        <w:t xml:space="preserve"> There is no available benchmark </w:t>
      </w:r>
      <w:r w:rsidRPr="00EE651E">
        <w:rPr>
          <w:rFonts w:ascii="Times New Roman" w:hAnsi="Times New Roman" w:cs="Times New Roman"/>
          <w:color w:val="000000"/>
          <w:sz w:val="24"/>
          <w:szCs w:val="24"/>
        </w:rPr>
        <w:lastRenderedPageBreak/>
        <w:t>for people with targeted disabilities. For those categories where participation rates are below expected levels, additional analysis for the rate of new hires and applicant flow from USAJobs has been provided.</w:t>
      </w:r>
    </w:p>
    <w:p w:rsidR="00D373A6" w:rsidRPr="00EE651E" w:rsidRDefault="00D373A6" w:rsidP="00D373A6">
      <w:pPr>
        <w:spacing w:after="0" w:line="240" w:lineRule="auto"/>
        <w:rPr>
          <w:rFonts w:ascii="Times New Roman" w:eastAsia="Times New Roman" w:hAnsi="Times New Roman" w:cs="Times New Roman"/>
          <w:color w:val="000000"/>
          <w:sz w:val="24"/>
          <w:szCs w:val="24"/>
        </w:rPr>
      </w:pPr>
      <w:r w:rsidRPr="00EE651E">
        <w:rPr>
          <w:rFonts w:ascii="Times New Roman" w:eastAsia="Times New Roman" w:hAnsi="Times New Roman" w:cs="Times New Roman"/>
          <w:color w:val="000000"/>
          <w:sz w:val="24"/>
          <w:szCs w:val="24"/>
        </w:rPr>
        <w:t xml:space="preserve">In the </w:t>
      </w:r>
      <w:r w:rsidRPr="00EE651E">
        <w:rPr>
          <w:rFonts w:ascii="Times New Roman" w:eastAsia="Times New Roman" w:hAnsi="Times New Roman" w:cs="Times New Roman"/>
          <w:b/>
          <w:color w:val="000000"/>
          <w:sz w:val="24"/>
          <w:szCs w:val="24"/>
        </w:rPr>
        <w:t>0601 General Health Science</w:t>
      </w:r>
      <w:r w:rsidRPr="00EE651E">
        <w:rPr>
          <w:rFonts w:ascii="Times New Roman" w:eastAsia="Times New Roman" w:hAnsi="Times New Roman" w:cs="Times New Roman"/>
          <w:color w:val="000000"/>
          <w:sz w:val="24"/>
          <w:szCs w:val="24"/>
        </w:rPr>
        <w:t xml:space="preserve"> Job Series, the following patterns were identified:</w:t>
      </w:r>
    </w:p>
    <w:p w:rsidR="00D373A6" w:rsidRPr="00CB1C5A" w:rsidRDefault="00D373A6" w:rsidP="009B3912">
      <w:pPr>
        <w:pStyle w:val="ListParagraph"/>
        <w:numPr>
          <w:ilvl w:val="0"/>
          <w:numId w:val="21"/>
        </w:numPr>
        <w:rPr>
          <w:color w:val="000000"/>
        </w:rPr>
      </w:pPr>
      <w:r w:rsidRPr="00CB1C5A">
        <w:rPr>
          <w:b/>
          <w:color w:val="000000"/>
        </w:rPr>
        <w:t xml:space="preserve">White females </w:t>
      </w:r>
      <w:r w:rsidRPr="00CB1C5A">
        <w:rPr>
          <w:color w:val="000000"/>
        </w:rPr>
        <w:t xml:space="preserve">have below expected participation as compared to the </w:t>
      </w:r>
      <w:r>
        <w:rPr>
          <w:color w:val="000000"/>
        </w:rPr>
        <w:t>R</w:t>
      </w:r>
      <w:r w:rsidRPr="00CB1C5A">
        <w:rPr>
          <w:color w:val="000000"/>
        </w:rPr>
        <w:t>CLF (</w:t>
      </w:r>
      <w:r>
        <w:rPr>
          <w:color w:val="000000"/>
        </w:rPr>
        <w:t>42.7</w:t>
      </w:r>
      <w:r w:rsidRPr="00CB1C5A">
        <w:rPr>
          <w:color w:val="000000"/>
        </w:rPr>
        <w:t xml:space="preserve">% </w:t>
      </w:r>
      <w:r>
        <w:rPr>
          <w:color w:val="000000"/>
        </w:rPr>
        <w:t xml:space="preserve">vs. </w:t>
      </w:r>
      <w:r w:rsidRPr="00CB1C5A">
        <w:rPr>
          <w:color w:val="000000"/>
        </w:rPr>
        <w:t>52.6%)</w:t>
      </w:r>
      <w:r>
        <w:rPr>
          <w:color w:val="000000"/>
        </w:rPr>
        <w:t>.</w:t>
      </w:r>
    </w:p>
    <w:p w:rsidR="00D373A6" w:rsidRDefault="00D373A6" w:rsidP="009B3912">
      <w:pPr>
        <w:pStyle w:val="ListParagraph"/>
        <w:numPr>
          <w:ilvl w:val="0"/>
          <w:numId w:val="21"/>
        </w:numPr>
        <w:rPr>
          <w:color w:val="000000"/>
        </w:rPr>
      </w:pPr>
      <w:r w:rsidRPr="00CB1C5A">
        <w:rPr>
          <w:b/>
          <w:color w:val="000000"/>
        </w:rPr>
        <w:t>Asian males</w:t>
      </w:r>
      <w:r w:rsidRPr="00CB1C5A">
        <w:rPr>
          <w:color w:val="000000"/>
        </w:rPr>
        <w:t xml:space="preserve"> have below expected participation as compared to the </w:t>
      </w:r>
      <w:r>
        <w:rPr>
          <w:color w:val="000000"/>
        </w:rPr>
        <w:t>R</w:t>
      </w:r>
      <w:r w:rsidRPr="00CB1C5A">
        <w:rPr>
          <w:color w:val="000000"/>
        </w:rPr>
        <w:t xml:space="preserve">CLF (8.6% as compared to 10.0%). </w:t>
      </w:r>
    </w:p>
    <w:p w:rsidR="00D373A6" w:rsidRPr="00CB1C5A" w:rsidRDefault="00D373A6" w:rsidP="009B3912">
      <w:pPr>
        <w:pStyle w:val="ListParagraph"/>
        <w:numPr>
          <w:ilvl w:val="0"/>
          <w:numId w:val="21"/>
        </w:numPr>
        <w:rPr>
          <w:color w:val="000000"/>
        </w:rPr>
      </w:pPr>
      <w:r w:rsidRPr="00CB1C5A">
        <w:rPr>
          <w:b/>
          <w:color w:val="000000"/>
        </w:rPr>
        <w:t>Asian females</w:t>
      </w:r>
      <w:r w:rsidRPr="00CB1C5A">
        <w:rPr>
          <w:color w:val="000000"/>
        </w:rPr>
        <w:t xml:space="preserve"> have below expected participation as compared to the </w:t>
      </w:r>
      <w:r>
        <w:rPr>
          <w:color w:val="000000"/>
        </w:rPr>
        <w:t>R</w:t>
      </w:r>
      <w:r w:rsidRPr="00CB1C5A">
        <w:rPr>
          <w:color w:val="000000"/>
        </w:rPr>
        <w:t xml:space="preserve">CLF (9.4% as compared to 10.6%). </w:t>
      </w:r>
    </w:p>
    <w:p w:rsidR="00D373A6" w:rsidRDefault="00D373A6" w:rsidP="009B3912">
      <w:pPr>
        <w:pStyle w:val="ListParagraph"/>
        <w:numPr>
          <w:ilvl w:val="0"/>
          <w:numId w:val="21"/>
        </w:numPr>
        <w:rPr>
          <w:color w:val="000000"/>
        </w:rPr>
      </w:pPr>
      <w:r w:rsidRPr="00CB1C5A">
        <w:rPr>
          <w:b/>
          <w:color w:val="000000"/>
        </w:rPr>
        <w:t>AI/AN males</w:t>
      </w:r>
      <w:r w:rsidRPr="00CB1C5A">
        <w:rPr>
          <w:color w:val="000000"/>
        </w:rPr>
        <w:t xml:space="preserve"> have below expected participation as compared to the </w:t>
      </w:r>
      <w:r>
        <w:rPr>
          <w:color w:val="000000"/>
        </w:rPr>
        <w:t>R</w:t>
      </w:r>
      <w:r w:rsidRPr="00CB1C5A">
        <w:rPr>
          <w:color w:val="000000"/>
        </w:rPr>
        <w:t xml:space="preserve">CLF (0.1% as compared to 0.6%). </w:t>
      </w:r>
    </w:p>
    <w:p w:rsidR="00D373A6" w:rsidRPr="00CB1C5A" w:rsidRDefault="00D373A6" w:rsidP="009B3912">
      <w:pPr>
        <w:pStyle w:val="ListParagraph"/>
        <w:numPr>
          <w:ilvl w:val="0"/>
          <w:numId w:val="21"/>
        </w:numPr>
        <w:rPr>
          <w:color w:val="000000"/>
        </w:rPr>
      </w:pPr>
      <w:r w:rsidRPr="00CB1C5A">
        <w:rPr>
          <w:b/>
          <w:color w:val="000000"/>
        </w:rPr>
        <w:t xml:space="preserve">AI/AN females </w:t>
      </w:r>
      <w:r w:rsidRPr="00CB1C5A">
        <w:rPr>
          <w:color w:val="000000"/>
        </w:rPr>
        <w:t xml:space="preserve">have below expected participation as compared to the </w:t>
      </w:r>
      <w:r>
        <w:rPr>
          <w:color w:val="000000"/>
        </w:rPr>
        <w:t>R</w:t>
      </w:r>
      <w:r w:rsidRPr="00CB1C5A">
        <w:rPr>
          <w:color w:val="000000"/>
        </w:rPr>
        <w:t>CLF (0.2% as compared to 0.8%)</w:t>
      </w:r>
      <w:r>
        <w:rPr>
          <w:color w:val="000000"/>
        </w:rPr>
        <w:t>.</w:t>
      </w:r>
      <w:r w:rsidRPr="00CB1C5A">
        <w:rPr>
          <w:color w:val="000000"/>
        </w:rPr>
        <w:t xml:space="preserve"> </w:t>
      </w:r>
    </w:p>
    <w:p w:rsidR="00D373A6" w:rsidRPr="005A0E69" w:rsidRDefault="00D373A6" w:rsidP="00D373A6">
      <w:pPr>
        <w:spacing w:after="0" w:line="240" w:lineRule="auto"/>
        <w:rPr>
          <w:rFonts w:ascii="Times New Roman" w:eastAsia="Times New Roman" w:hAnsi="Times New Roman" w:cs="Times New Roman"/>
          <w:color w:val="000000"/>
          <w:sz w:val="24"/>
          <w:szCs w:val="24"/>
        </w:rPr>
      </w:pPr>
    </w:p>
    <w:p w:rsidR="00D373A6" w:rsidRPr="005A0E69" w:rsidRDefault="00D373A6" w:rsidP="00D373A6">
      <w:pPr>
        <w:spacing w:after="0" w:line="240" w:lineRule="auto"/>
        <w:rPr>
          <w:rFonts w:ascii="Times New Roman" w:eastAsia="Times New Roman" w:hAnsi="Times New Roman" w:cs="Times New Roman"/>
          <w:color w:val="000000"/>
          <w:sz w:val="24"/>
          <w:szCs w:val="24"/>
        </w:rPr>
      </w:pPr>
      <w:r w:rsidRPr="005A0E69">
        <w:rPr>
          <w:rFonts w:ascii="Times New Roman" w:eastAsia="Times New Roman" w:hAnsi="Times New Roman" w:cs="Times New Roman"/>
          <w:color w:val="000000"/>
          <w:sz w:val="24"/>
          <w:szCs w:val="24"/>
        </w:rPr>
        <w:t xml:space="preserve">In the </w:t>
      </w:r>
      <w:r w:rsidRPr="005A0E69">
        <w:rPr>
          <w:rFonts w:ascii="Times New Roman" w:eastAsia="Times New Roman" w:hAnsi="Times New Roman" w:cs="Times New Roman"/>
          <w:b/>
          <w:color w:val="000000"/>
          <w:sz w:val="24"/>
          <w:szCs w:val="24"/>
        </w:rPr>
        <w:t>0401 General Biological Science</w:t>
      </w:r>
      <w:r w:rsidRPr="005A0E69">
        <w:rPr>
          <w:rFonts w:ascii="Times New Roman" w:eastAsia="Times New Roman" w:hAnsi="Times New Roman" w:cs="Times New Roman"/>
          <w:color w:val="000000"/>
          <w:sz w:val="24"/>
          <w:szCs w:val="24"/>
        </w:rPr>
        <w:t xml:space="preserve"> Job Series, the following patterns were identified:</w:t>
      </w:r>
    </w:p>
    <w:p w:rsidR="00D373A6" w:rsidRPr="00CB1C5A" w:rsidRDefault="00D373A6" w:rsidP="009B3912">
      <w:pPr>
        <w:pStyle w:val="ListParagraph"/>
        <w:numPr>
          <w:ilvl w:val="0"/>
          <w:numId w:val="20"/>
        </w:numPr>
        <w:rPr>
          <w:color w:val="000000"/>
        </w:rPr>
      </w:pPr>
      <w:r w:rsidRPr="00A11415">
        <w:rPr>
          <w:b/>
          <w:color w:val="000000"/>
        </w:rPr>
        <w:t xml:space="preserve">Males </w:t>
      </w:r>
      <w:r w:rsidRPr="00A11415">
        <w:rPr>
          <w:color w:val="000000"/>
        </w:rPr>
        <w:t xml:space="preserve">have below expected participation as compared to the </w:t>
      </w:r>
      <w:r>
        <w:rPr>
          <w:color w:val="000000"/>
        </w:rPr>
        <w:t>R</w:t>
      </w:r>
      <w:r w:rsidRPr="00CB1C5A">
        <w:rPr>
          <w:color w:val="000000"/>
        </w:rPr>
        <w:t>CLF (50.</w:t>
      </w:r>
      <w:r>
        <w:rPr>
          <w:color w:val="000000"/>
        </w:rPr>
        <w:t>4</w:t>
      </w:r>
      <w:r w:rsidRPr="00CB1C5A">
        <w:rPr>
          <w:color w:val="000000"/>
        </w:rPr>
        <w:t>% as compared to 52.0%)</w:t>
      </w:r>
      <w:r>
        <w:rPr>
          <w:color w:val="000000"/>
        </w:rPr>
        <w:t>;</w:t>
      </w:r>
      <w:r w:rsidRPr="00CB1C5A">
        <w:rPr>
          <w:color w:val="000000"/>
        </w:rPr>
        <w:t xml:space="preserve"> new hires were also below expected rates (54.0% as compared to 52.0%). </w:t>
      </w:r>
    </w:p>
    <w:p w:rsidR="00D373A6" w:rsidRDefault="00D373A6" w:rsidP="009B3912">
      <w:pPr>
        <w:pStyle w:val="ListParagraph"/>
        <w:numPr>
          <w:ilvl w:val="0"/>
          <w:numId w:val="20"/>
        </w:numPr>
        <w:rPr>
          <w:color w:val="000000"/>
        </w:rPr>
      </w:pPr>
      <w:r w:rsidRPr="00CB1C5A">
        <w:rPr>
          <w:b/>
          <w:color w:val="000000"/>
        </w:rPr>
        <w:t>White males</w:t>
      </w:r>
      <w:r w:rsidRPr="00CB1C5A">
        <w:rPr>
          <w:color w:val="000000"/>
        </w:rPr>
        <w:t xml:space="preserve"> have below expected participation as compared to the </w:t>
      </w:r>
      <w:r>
        <w:rPr>
          <w:color w:val="000000"/>
        </w:rPr>
        <w:t>R</w:t>
      </w:r>
      <w:r w:rsidRPr="00CB1C5A">
        <w:rPr>
          <w:color w:val="000000"/>
        </w:rPr>
        <w:t>CLF (</w:t>
      </w:r>
      <w:r>
        <w:rPr>
          <w:color w:val="000000"/>
        </w:rPr>
        <w:t>26.7</w:t>
      </w:r>
      <w:r w:rsidRPr="00CB1C5A">
        <w:rPr>
          <w:color w:val="000000"/>
        </w:rPr>
        <w:t>% as compared to 44.3%), new hires were also below expected rates (22.</w:t>
      </w:r>
      <w:r>
        <w:rPr>
          <w:color w:val="000000"/>
        </w:rPr>
        <w:t>5</w:t>
      </w:r>
      <w:r w:rsidRPr="00CB1C5A">
        <w:rPr>
          <w:color w:val="000000"/>
        </w:rPr>
        <w:t xml:space="preserve">% as compared to 44.3%). </w:t>
      </w:r>
    </w:p>
    <w:p w:rsidR="00D373A6" w:rsidRPr="00CB1C5A" w:rsidRDefault="00D373A6" w:rsidP="009B3912">
      <w:pPr>
        <w:pStyle w:val="ListParagraph"/>
        <w:numPr>
          <w:ilvl w:val="0"/>
          <w:numId w:val="20"/>
        </w:numPr>
        <w:rPr>
          <w:color w:val="000000"/>
        </w:rPr>
      </w:pPr>
      <w:r w:rsidRPr="00CB1C5A">
        <w:rPr>
          <w:b/>
          <w:color w:val="000000"/>
        </w:rPr>
        <w:t>White females</w:t>
      </w:r>
      <w:r w:rsidRPr="00CB1C5A">
        <w:rPr>
          <w:color w:val="000000"/>
        </w:rPr>
        <w:t xml:space="preserve"> have below expected participation as compared to the </w:t>
      </w:r>
      <w:r>
        <w:rPr>
          <w:color w:val="000000"/>
        </w:rPr>
        <w:t>R</w:t>
      </w:r>
      <w:r w:rsidRPr="00CB1C5A">
        <w:rPr>
          <w:color w:val="000000"/>
        </w:rPr>
        <w:t>CLF (</w:t>
      </w:r>
      <w:r>
        <w:rPr>
          <w:color w:val="000000"/>
        </w:rPr>
        <w:t>27.3</w:t>
      </w:r>
      <w:r w:rsidRPr="00CB1C5A">
        <w:rPr>
          <w:color w:val="000000"/>
        </w:rPr>
        <w:t>% as compared to 39.5%), new hires were also below expected rates (21.</w:t>
      </w:r>
      <w:r>
        <w:rPr>
          <w:color w:val="000000"/>
        </w:rPr>
        <w:t>4</w:t>
      </w:r>
      <w:r w:rsidRPr="00CB1C5A">
        <w:rPr>
          <w:color w:val="000000"/>
        </w:rPr>
        <w:t>% as compared to 39.5%).</w:t>
      </w:r>
    </w:p>
    <w:p w:rsidR="00D373A6" w:rsidRPr="005A0E69" w:rsidRDefault="00D373A6" w:rsidP="00D373A6">
      <w:pPr>
        <w:spacing w:after="0" w:line="240" w:lineRule="auto"/>
        <w:rPr>
          <w:rFonts w:ascii="Times New Roman" w:eastAsia="Times New Roman" w:hAnsi="Times New Roman" w:cs="Times New Roman"/>
          <w:color w:val="000000"/>
          <w:sz w:val="24"/>
          <w:szCs w:val="24"/>
        </w:rPr>
      </w:pPr>
    </w:p>
    <w:p w:rsidR="00D373A6" w:rsidRPr="005A0E69" w:rsidRDefault="00D373A6" w:rsidP="00D373A6">
      <w:pPr>
        <w:spacing w:after="0" w:line="240" w:lineRule="auto"/>
        <w:rPr>
          <w:rFonts w:ascii="Times New Roman" w:eastAsia="Times New Roman" w:hAnsi="Times New Roman" w:cs="Times New Roman"/>
          <w:color w:val="000000"/>
          <w:sz w:val="24"/>
          <w:szCs w:val="24"/>
        </w:rPr>
      </w:pPr>
      <w:r w:rsidRPr="005A0E69">
        <w:rPr>
          <w:rFonts w:ascii="Times New Roman" w:eastAsia="Times New Roman" w:hAnsi="Times New Roman" w:cs="Times New Roman"/>
          <w:color w:val="000000"/>
          <w:sz w:val="24"/>
          <w:szCs w:val="24"/>
        </w:rPr>
        <w:t xml:space="preserve">In the </w:t>
      </w:r>
      <w:r w:rsidRPr="005A0E69">
        <w:rPr>
          <w:rFonts w:ascii="Times New Roman" w:eastAsia="Times New Roman" w:hAnsi="Times New Roman" w:cs="Times New Roman"/>
          <w:b/>
          <w:color w:val="000000"/>
          <w:sz w:val="24"/>
          <w:szCs w:val="24"/>
        </w:rPr>
        <w:t>0301 Misc. Admin/Program</w:t>
      </w:r>
      <w:r w:rsidRPr="005A0E69">
        <w:rPr>
          <w:rFonts w:ascii="Times New Roman" w:eastAsia="Times New Roman" w:hAnsi="Times New Roman" w:cs="Times New Roman"/>
          <w:color w:val="000000"/>
          <w:sz w:val="24"/>
          <w:szCs w:val="24"/>
        </w:rPr>
        <w:t xml:space="preserve"> Job Series, the following patterns were identified:</w:t>
      </w:r>
    </w:p>
    <w:p w:rsidR="00D373A6" w:rsidRPr="00CB1C5A" w:rsidRDefault="00D373A6" w:rsidP="009B3912">
      <w:pPr>
        <w:pStyle w:val="ListParagraph"/>
        <w:numPr>
          <w:ilvl w:val="0"/>
          <w:numId w:val="22"/>
        </w:numPr>
        <w:rPr>
          <w:color w:val="000000"/>
        </w:rPr>
      </w:pPr>
      <w:r w:rsidRPr="00A11415">
        <w:rPr>
          <w:b/>
          <w:color w:val="000000"/>
        </w:rPr>
        <w:t>Males</w:t>
      </w:r>
      <w:r w:rsidRPr="00A11415">
        <w:rPr>
          <w:color w:val="000000"/>
        </w:rPr>
        <w:t xml:space="preserve"> have below expected participation as compared to the </w:t>
      </w:r>
      <w:r>
        <w:rPr>
          <w:color w:val="000000"/>
        </w:rPr>
        <w:t>R</w:t>
      </w:r>
      <w:r w:rsidRPr="00ED3017">
        <w:rPr>
          <w:color w:val="000000"/>
        </w:rPr>
        <w:t>CLF (2</w:t>
      </w:r>
      <w:r>
        <w:rPr>
          <w:color w:val="000000"/>
        </w:rPr>
        <w:t>0</w:t>
      </w:r>
      <w:r w:rsidRPr="00ED3017">
        <w:rPr>
          <w:color w:val="000000"/>
        </w:rPr>
        <w:t xml:space="preserve">.04% as compared to </w:t>
      </w:r>
      <w:r w:rsidRPr="00CB1C5A">
        <w:rPr>
          <w:color w:val="000000"/>
        </w:rPr>
        <w:t>36.7%)</w:t>
      </w:r>
      <w:r>
        <w:rPr>
          <w:color w:val="000000"/>
        </w:rPr>
        <w:t>;</w:t>
      </w:r>
      <w:r w:rsidRPr="00CB1C5A">
        <w:rPr>
          <w:color w:val="000000"/>
        </w:rPr>
        <w:t xml:space="preserve"> new hires were </w:t>
      </w:r>
      <w:r>
        <w:rPr>
          <w:color w:val="000000"/>
        </w:rPr>
        <w:t>also below expected rates (40.4</w:t>
      </w:r>
      <w:r w:rsidRPr="00CB1C5A">
        <w:rPr>
          <w:color w:val="000000"/>
        </w:rPr>
        <w:t xml:space="preserve">% as compared to 36.7%). </w:t>
      </w:r>
    </w:p>
    <w:p w:rsidR="00D373A6" w:rsidRDefault="00D373A6" w:rsidP="009B3912">
      <w:pPr>
        <w:pStyle w:val="ListParagraph"/>
        <w:numPr>
          <w:ilvl w:val="0"/>
          <w:numId w:val="22"/>
        </w:numPr>
        <w:rPr>
          <w:color w:val="000000"/>
        </w:rPr>
      </w:pPr>
      <w:r w:rsidRPr="00CB1C5A">
        <w:rPr>
          <w:b/>
          <w:color w:val="000000"/>
        </w:rPr>
        <w:t>Hispanic males</w:t>
      </w:r>
      <w:r w:rsidRPr="00CB1C5A">
        <w:rPr>
          <w:color w:val="000000"/>
        </w:rPr>
        <w:t xml:space="preserve"> have below expected participation as compared to the </w:t>
      </w:r>
      <w:r>
        <w:rPr>
          <w:color w:val="000000"/>
        </w:rPr>
        <w:t>R</w:t>
      </w:r>
      <w:r w:rsidRPr="00CB1C5A">
        <w:rPr>
          <w:color w:val="000000"/>
        </w:rPr>
        <w:t>CLF (0.</w:t>
      </w:r>
      <w:r>
        <w:rPr>
          <w:color w:val="000000"/>
        </w:rPr>
        <w:t>4</w:t>
      </w:r>
      <w:r w:rsidRPr="00CB1C5A">
        <w:rPr>
          <w:color w:val="000000"/>
        </w:rPr>
        <w:t>% as compared to 2.9%), new hires were also below expe</w:t>
      </w:r>
      <w:r>
        <w:rPr>
          <w:color w:val="000000"/>
        </w:rPr>
        <w:t>cted rates (1.9</w:t>
      </w:r>
      <w:r w:rsidRPr="00CB1C5A">
        <w:rPr>
          <w:color w:val="000000"/>
        </w:rPr>
        <w:t xml:space="preserve">% as compared to 2.9%). </w:t>
      </w:r>
    </w:p>
    <w:p w:rsidR="00D373A6" w:rsidRPr="00CB1C5A" w:rsidRDefault="00D373A6" w:rsidP="009B3912">
      <w:pPr>
        <w:pStyle w:val="ListParagraph"/>
        <w:numPr>
          <w:ilvl w:val="0"/>
          <w:numId w:val="22"/>
        </w:numPr>
        <w:rPr>
          <w:color w:val="000000"/>
        </w:rPr>
      </w:pPr>
      <w:r w:rsidRPr="00ED3017">
        <w:rPr>
          <w:b/>
          <w:color w:val="000000"/>
        </w:rPr>
        <w:t>Hispanic females</w:t>
      </w:r>
      <w:r w:rsidRPr="00ED3017">
        <w:rPr>
          <w:color w:val="000000"/>
        </w:rPr>
        <w:t xml:space="preserve"> have below expected participation as compared to the </w:t>
      </w:r>
      <w:r>
        <w:rPr>
          <w:color w:val="000000"/>
        </w:rPr>
        <w:t>R</w:t>
      </w:r>
      <w:r w:rsidRPr="00ED3017">
        <w:rPr>
          <w:color w:val="000000"/>
        </w:rPr>
        <w:t>CLF (3.</w:t>
      </w:r>
      <w:r>
        <w:rPr>
          <w:color w:val="000000"/>
        </w:rPr>
        <w:t>1</w:t>
      </w:r>
      <w:r w:rsidRPr="00ED3017">
        <w:rPr>
          <w:color w:val="000000"/>
        </w:rPr>
        <w:t>% as compared to 5.</w:t>
      </w:r>
      <w:r w:rsidRPr="00CB1C5A">
        <w:rPr>
          <w:color w:val="000000"/>
        </w:rPr>
        <w:t>9%), new hires were also below expected rates (0</w:t>
      </w:r>
      <w:r>
        <w:rPr>
          <w:color w:val="000000"/>
        </w:rPr>
        <w:t>.0</w:t>
      </w:r>
      <w:r w:rsidRPr="00CB1C5A">
        <w:rPr>
          <w:color w:val="000000"/>
        </w:rPr>
        <w:t xml:space="preserve">% as compared to 5.9%). </w:t>
      </w:r>
    </w:p>
    <w:p w:rsidR="00D373A6" w:rsidRDefault="00D373A6" w:rsidP="009B3912">
      <w:pPr>
        <w:pStyle w:val="ListParagraph"/>
        <w:numPr>
          <w:ilvl w:val="0"/>
          <w:numId w:val="22"/>
        </w:numPr>
        <w:rPr>
          <w:color w:val="000000"/>
        </w:rPr>
      </w:pPr>
      <w:r w:rsidRPr="00CB1C5A">
        <w:rPr>
          <w:b/>
          <w:color w:val="000000"/>
        </w:rPr>
        <w:t>White males</w:t>
      </w:r>
      <w:r w:rsidRPr="00CB1C5A">
        <w:rPr>
          <w:color w:val="000000"/>
        </w:rPr>
        <w:t xml:space="preserve"> have below expected participation as compared to the </w:t>
      </w:r>
      <w:r>
        <w:rPr>
          <w:color w:val="000000"/>
        </w:rPr>
        <w:t>R</w:t>
      </w:r>
      <w:r w:rsidRPr="00CB1C5A">
        <w:rPr>
          <w:color w:val="000000"/>
        </w:rPr>
        <w:t>CLF (</w:t>
      </w:r>
      <w:r>
        <w:rPr>
          <w:color w:val="000000"/>
        </w:rPr>
        <w:t>12.6</w:t>
      </w:r>
      <w:r w:rsidRPr="00CB1C5A">
        <w:rPr>
          <w:color w:val="000000"/>
        </w:rPr>
        <w:t xml:space="preserve">% as compared to 27.1%). </w:t>
      </w:r>
    </w:p>
    <w:p w:rsidR="00D373A6" w:rsidRPr="00CB1C5A" w:rsidRDefault="00D373A6" w:rsidP="009B3912">
      <w:pPr>
        <w:pStyle w:val="ListParagraph"/>
        <w:numPr>
          <w:ilvl w:val="0"/>
          <w:numId w:val="22"/>
        </w:numPr>
        <w:rPr>
          <w:color w:val="000000"/>
        </w:rPr>
      </w:pPr>
      <w:r w:rsidRPr="00CB1C5A">
        <w:rPr>
          <w:b/>
          <w:color w:val="000000"/>
        </w:rPr>
        <w:t>White females</w:t>
      </w:r>
      <w:r w:rsidRPr="00CB1C5A">
        <w:rPr>
          <w:color w:val="000000"/>
        </w:rPr>
        <w:t xml:space="preserve"> have below expected participation as compared to the </w:t>
      </w:r>
      <w:r>
        <w:rPr>
          <w:color w:val="000000"/>
        </w:rPr>
        <w:t>R</w:t>
      </w:r>
      <w:r w:rsidRPr="00CB1C5A">
        <w:rPr>
          <w:color w:val="000000"/>
        </w:rPr>
        <w:t>CLF (3</w:t>
      </w:r>
      <w:r>
        <w:rPr>
          <w:color w:val="000000"/>
        </w:rPr>
        <w:t xml:space="preserve">6.4 vs. </w:t>
      </w:r>
      <w:r w:rsidRPr="00CB1C5A">
        <w:rPr>
          <w:color w:val="000000"/>
        </w:rPr>
        <w:t>43.8%)</w:t>
      </w:r>
      <w:r>
        <w:rPr>
          <w:color w:val="000000"/>
        </w:rPr>
        <w:t>.</w:t>
      </w:r>
    </w:p>
    <w:p w:rsidR="00D373A6" w:rsidRPr="00ED3017" w:rsidRDefault="00D373A6" w:rsidP="009B3912">
      <w:pPr>
        <w:pStyle w:val="ListParagraph"/>
        <w:numPr>
          <w:ilvl w:val="0"/>
          <w:numId w:val="22"/>
        </w:numPr>
        <w:rPr>
          <w:color w:val="000000"/>
        </w:rPr>
      </w:pPr>
      <w:r w:rsidRPr="00CB1C5A">
        <w:rPr>
          <w:b/>
          <w:color w:val="000000"/>
        </w:rPr>
        <w:t>Asian males</w:t>
      </w:r>
      <w:r w:rsidRPr="00ED3017">
        <w:rPr>
          <w:color w:val="000000"/>
        </w:rPr>
        <w:t xml:space="preserve"> have below expected participation as compared to the </w:t>
      </w:r>
      <w:r>
        <w:rPr>
          <w:color w:val="000000"/>
        </w:rPr>
        <w:t>R</w:t>
      </w:r>
      <w:r w:rsidRPr="00ED3017">
        <w:rPr>
          <w:color w:val="000000"/>
        </w:rPr>
        <w:t>CLF (1.</w:t>
      </w:r>
      <w:r>
        <w:rPr>
          <w:color w:val="000000"/>
        </w:rPr>
        <w:t>0</w:t>
      </w:r>
      <w:r w:rsidRPr="00ED3017">
        <w:rPr>
          <w:color w:val="000000"/>
        </w:rPr>
        <w:t xml:space="preserve">% as compared to 2.6%). </w:t>
      </w:r>
    </w:p>
    <w:p w:rsidR="00D373A6" w:rsidRPr="00ED3017" w:rsidRDefault="00D373A6" w:rsidP="009B3912">
      <w:pPr>
        <w:pStyle w:val="ListParagraph"/>
        <w:numPr>
          <w:ilvl w:val="0"/>
          <w:numId w:val="22"/>
        </w:numPr>
        <w:rPr>
          <w:color w:val="000000"/>
        </w:rPr>
      </w:pPr>
      <w:r w:rsidRPr="00ED3017">
        <w:rPr>
          <w:b/>
          <w:color w:val="000000"/>
        </w:rPr>
        <w:t>AI/AN males</w:t>
      </w:r>
      <w:r w:rsidRPr="00ED3017">
        <w:rPr>
          <w:color w:val="000000"/>
        </w:rPr>
        <w:t xml:space="preserve"> have below expected participation as compared to the </w:t>
      </w:r>
      <w:r>
        <w:rPr>
          <w:color w:val="000000"/>
        </w:rPr>
        <w:t>R</w:t>
      </w:r>
      <w:r w:rsidRPr="00ED3017">
        <w:rPr>
          <w:color w:val="000000"/>
        </w:rPr>
        <w:t>CLF (0.1% as compared to 0.3%)</w:t>
      </w:r>
      <w:r>
        <w:rPr>
          <w:color w:val="000000"/>
        </w:rPr>
        <w:t>.</w:t>
      </w:r>
    </w:p>
    <w:p w:rsidR="00D373A6" w:rsidRPr="00CB1C5A" w:rsidRDefault="00D373A6" w:rsidP="00D373A6">
      <w:pPr>
        <w:spacing w:after="0" w:line="240" w:lineRule="auto"/>
        <w:rPr>
          <w:rFonts w:ascii="Times New Roman" w:eastAsia="Times New Roman" w:hAnsi="Times New Roman" w:cs="Times New Roman"/>
          <w:color w:val="000000"/>
          <w:sz w:val="24"/>
          <w:szCs w:val="24"/>
        </w:rPr>
      </w:pPr>
    </w:p>
    <w:p w:rsidR="00D373A6" w:rsidRPr="005A0E69" w:rsidRDefault="00D373A6" w:rsidP="00D373A6">
      <w:pPr>
        <w:spacing w:after="0" w:line="240" w:lineRule="auto"/>
        <w:rPr>
          <w:rFonts w:ascii="Times New Roman" w:eastAsia="Times New Roman" w:hAnsi="Times New Roman" w:cs="Times New Roman"/>
          <w:color w:val="000000"/>
          <w:sz w:val="24"/>
          <w:szCs w:val="24"/>
        </w:rPr>
      </w:pPr>
      <w:r w:rsidRPr="005A0E69">
        <w:rPr>
          <w:rFonts w:ascii="Times New Roman" w:eastAsia="Times New Roman" w:hAnsi="Times New Roman" w:cs="Times New Roman"/>
          <w:color w:val="000000"/>
          <w:sz w:val="24"/>
          <w:szCs w:val="24"/>
        </w:rPr>
        <w:t xml:space="preserve">In the </w:t>
      </w:r>
      <w:r w:rsidRPr="005A0E69">
        <w:rPr>
          <w:rFonts w:ascii="Times New Roman" w:eastAsia="Times New Roman" w:hAnsi="Times New Roman" w:cs="Times New Roman"/>
          <w:b/>
          <w:color w:val="000000"/>
          <w:sz w:val="24"/>
          <w:szCs w:val="24"/>
        </w:rPr>
        <w:t>0610 Nursing</w:t>
      </w:r>
      <w:r w:rsidRPr="005A0E69">
        <w:rPr>
          <w:rFonts w:ascii="Times New Roman" w:eastAsia="Times New Roman" w:hAnsi="Times New Roman" w:cs="Times New Roman"/>
          <w:color w:val="000000"/>
          <w:sz w:val="24"/>
          <w:szCs w:val="24"/>
        </w:rPr>
        <w:t xml:space="preserve"> Job Series, the following patterns were identified:</w:t>
      </w:r>
    </w:p>
    <w:p w:rsidR="00D373A6" w:rsidRPr="00CB1C5A" w:rsidRDefault="00D373A6" w:rsidP="009B3912">
      <w:pPr>
        <w:pStyle w:val="ListParagraph"/>
        <w:numPr>
          <w:ilvl w:val="0"/>
          <w:numId w:val="23"/>
        </w:numPr>
        <w:ind w:left="360"/>
        <w:rPr>
          <w:color w:val="000000"/>
        </w:rPr>
      </w:pPr>
      <w:r w:rsidRPr="00A11415">
        <w:rPr>
          <w:b/>
          <w:color w:val="000000"/>
        </w:rPr>
        <w:t>Males</w:t>
      </w:r>
      <w:r w:rsidRPr="00A11415">
        <w:rPr>
          <w:color w:val="000000"/>
        </w:rPr>
        <w:t xml:space="preserve"> have below expected participation as compared to the </w:t>
      </w:r>
      <w:r>
        <w:rPr>
          <w:color w:val="000000"/>
        </w:rPr>
        <w:t>R</w:t>
      </w:r>
      <w:r w:rsidRPr="00ED3017">
        <w:rPr>
          <w:color w:val="000000"/>
        </w:rPr>
        <w:t>CLF (7.1% as compared to 8.4</w:t>
      </w:r>
      <w:r w:rsidRPr="00CB1C5A">
        <w:rPr>
          <w:color w:val="000000"/>
        </w:rPr>
        <w:t>%), new hires were also below expect</w:t>
      </w:r>
      <w:r w:rsidRPr="00ED3017">
        <w:rPr>
          <w:color w:val="000000"/>
        </w:rPr>
        <w:t>ed rates (7.2% as compared to 8.4</w:t>
      </w:r>
      <w:r w:rsidRPr="00CB1C5A">
        <w:rPr>
          <w:color w:val="000000"/>
        </w:rPr>
        <w:t>%).</w:t>
      </w:r>
    </w:p>
    <w:p w:rsidR="00D373A6" w:rsidRDefault="00D373A6" w:rsidP="009B3912">
      <w:pPr>
        <w:pStyle w:val="ListParagraph"/>
        <w:numPr>
          <w:ilvl w:val="0"/>
          <w:numId w:val="23"/>
        </w:numPr>
        <w:ind w:left="360"/>
        <w:rPr>
          <w:color w:val="000000"/>
        </w:rPr>
      </w:pPr>
      <w:r w:rsidRPr="00ED3017">
        <w:rPr>
          <w:b/>
          <w:color w:val="000000"/>
        </w:rPr>
        <w:lastRenderedPageBreak/>
        <w:t>White males</w:t>
      </w:r>
      <w:r w:rsidRPr="00ED3017">
        <w:rPr>
          <w:color w:val="000000"/>
        </w:rPr>
        <w:t xml:space="preserve"> have below expected participation as compared to the </w:t>
      </w:r>
      <w:r>
        <w:rPr>
          <w:color w:val="000000"/>
        </w:rPr>
        <w:t>R</w:t>
      </w:r>
      <w:r w:rsidRPr="00ED3017">
        <w:rPr>
          <w:color w:val="000000"/>
        </w:rPr>
        <w:t>CLF (</w:t>
      </w:r>
      <w:r>
        <w:rPr>
          <w:color w:val="000000"/>
        </w:rPr>
        <w:t>4.1</w:t>
      </w:r>
      <w:r w:rsidRPr="00ED3017">
        <w:rPr>
          <w:color w:val="000000"/>
        </w:rPr>
        <w:t>% as compared to 6.2</w:t>
      </w:r>
      <w:r w:rsidRPr="00CB1C5A">
        <w:rPr>
          <w:color w:val="000000"/>
        </w:rPr>
        <w:t xml:space="preserve">%), new hires were also below expected participation (4.8% as compared to </w:t>
      </w:r>
      <w:r w:rsidRPr="00ED3017">
        <w:rPr>
          <w:color w:val="000000"/>
        </w:rPr>
        <w:t>6.2</w:t>
      </w:r>
      <w:r w:rsidRPr="00CB1C5A">
        <w:rPr>
          <w:color w:val="000000"/>
        </w:rPr>
        <w:t>%)</w:t>
      </w:r>
      <w:r w:rsidRPr="00ED3017">
        <w:rPr>
          <w:color w:val="000000"/>
        </w:rPr>
        <w:t xml:space="preserve">. </w:t>
      </w:r>
    </w:p>
    <w:p w:rsidR="00D373A6" w:rsidRPr="00ED3017" w:rsidRDefault="00D373A6" w:rsidP="009B3912">
      <w:pPr>
        <w:pStyle w:val="ListParagraph"/>
        <w:numPr>
          <w:ilvl w:val="0"/>
          <w:numId w:val="23"/>
        </w:numPr>
        <w:ind w:left="360"/>
        <w:rPr>
          <w:color w:val="000000"/>
        </w:rPr>
      </w:pPr>
      <w:r w:rsidRPr="00ED3017">
        <w:rPr>
          <w:b/>
          <w:color w:val="000000"/>
        </w:rPr>
        <w:t>White females</w:t>
      </w:r>
      <w:r w:rsidRPr="00ED3017">
        <w:rPr>
          <w:color w:val="000000"/>
        </w:rPr>
        <w:t xml:space="preserve"> have below expected participation as compared to the </w:t>
      </w:r>
      <w:r>
        <w:rPr>
          <w:color w:val="000000"/>
        </w:rPr>
        <w:t>R</w:t>
      </w:r>
      <w:r w:rsidRPr="00ED3017">
        <w:rPr>
          <w:color w:val="000000"/>
        </w:rPr>
        <w:t>CLF (5</w:t>
      </w:r>
      <w:r>
        <w:rPr>
          <w:color w:val="000000"/>
        </w:rPr>
        <w:t>5</w:t>
      </w:r>
      <w:r w:rsidRPr="00ED3017">
        <w:rPr>
          <w:color w:val="000000"/>
        </w:rPr>
        <w:t>.6% as compared to 72.0</w:t>
      </w:r>
      <w:r w:rsidRPr="00CB1C5A">
        <w:rPr>
          <w:color w:val="000000"/>
        </w:rPr>
        <w:t xml:space="preserve">%), new hires were also below expected participation (42.4% as compared to </w:t>
      </w:r>
      <w:r w:rsidRPr="00ED3017">
        <w:rPr>
          <w:color w:val="000000"/>
        </w:rPr>
        <w:t>72.0</w:t>
      </w:r>
      <w:r w:rsidRPr="00CB1C5A">
        <w:rPr>
          <w:color w:val="000000"/>
        </w:rPr>
        <w:t>%)</w:t>
      </w:r>
      <w:r w:rsidRPr="00ED3017">
        <w:rPr>
          <w:color w:val="000000"/>
        </w:rPr>
        <w:t>.</w:t>
      </w:r>
    </w:p>
    <w:p w:rsidR="00D373A6" w:rsidRDefault="00D373A6" w:rsidP="009B3912">
      <w:pPr>
        <w:pStyle w:val="ListParagraph"/>
        <w:numPr>
          <w:ilvl w:val="0"/>
          <w:numId w:val="23"/>
        </w:numPr>
        <w:ind w:left="360"/>
        <w:rPr>
          <w:color w:val="000000"/>
        </w:rPr>
      </w:pPr>
      <w:r w:rsidRPr="00ED3017">
        <w:rPr>
          <w:b/>
          <w:color w:val="000000"/>
        </w:rPr>
        <w:t xml:space="preserve">AI/AN males </w:t>
      </w:r>
      <w:r w:rsidRPr="00ED3017">
        <w:rPr>
          <w:color w:val="000000"/>
        </w:rPr>
        <w:t xml:space="preserve">have below expected participation as compared to the </w:t>
      </w:r>
      <w:r>
        <w:rPr>
          <w:color w:val="000000"/>
        </w:rPr>
        <w:t>R</w:t>
      </w:r>
      <w:r w:rsidRPr="00ED3017">
        <w:rPr>
          <w:color w:val="000000"/>
        </w:rPr>
        <w:t>CLF (0.0% as compared to 0.1%)</w:t>
      </w:r>
      <w:r>
        <w:rPr>
          <w:color w:val="000000"/>
        </w:rPr>
        <w:t>.</w:t>
      </w:r>
      <w:r w:rsidRPr="00ED3017">
        <w:rPr>
          <w:color w:val="000000"/>
        </w:rPr>
        <w:t xml:space="preserve"> </w:t>
      </w:r>
    </w:p>
    <w:p w:rsidR="00D373A6" w:rsidRPr="00ED3017" w:rsidRDefault="00D373A6" w:rsidP="009B3912">
      <w:pPr>
        <w:pStyle w:val="ListParagraph"/>
        <w:numPr>
          <w:ilvl w:val="0"/>
          <w:numId w:val="23"/>
        </w:numPr>
        <w:ind w:left="360"/>
        <w:rPr>
          <w:color w:val="000000"/>
        </w:rPr>
      </w:pPr>
      <w:r w:rsidRPr="00ED3017">
        <w:rPr>
          <w:b/>
          <w:color w:val="000000"/>
        </w:rPr>
        <w:t xml:space="preserve">AI/AN females </w:t>
      </w:r>
      <w:r w:rsidRPr="00ED3017">
        <w:rPr>
          <w:color w:val="000000"/>
        </w:rPr>
        <w:t>have below expected participation as compared to the CLF (0.6% as compared to 0.7%.)</w:t>
      </w:r>
    </w:p>
    <w:p w:rsidR="00D373A6" w:rsidRPr="00CB1C5A" w:rsidRDefault="00D373A6" w:rsidP="00D373A6">
      <w:pPr>
        <w:spacing w:after="0" w:line="240" w:lineRule="auto"/>
        <w:rPr>
          <w:rFonts w:ascii="Times New Roman" w:eastAsia="Times New Roman" w:hAnsi="Times New Roman" w:cs="Times New Roman"/>
          <w:color w:val="000000"/>
          <w:sz w:val="24"/>
          <w:szCs w:val="24"/>
        </w:rPr>
      </w:pPr>
    </w:p>
    <w:p w:rsidR="00D373A6" w:rsidRPr="005A0E69" w:rsidRDefault="00D373A6" w:rsidP="00D373A6">
      <w:pPr>
        <w:spacing w:after="0" w:line="240" w:lineRule="auto"/>
        <w:rPr>
          <w:rFonts w:ascii="Times New Roman" w:eastAsia="Times New Roman" w:hAnsi="Times New Roman" w:cs="Times New Roman"/>
          <w:color w:val="000000"/>
          <w:sz w:val="24"/>
          <w:szCs w:val="24"/>
        </w:rPr>
      </w:pPr>
      <w:r w:rsidRPr="005A0E69">
        <w:rPr>
          <w:rFonts w:ascii="Times New Roman" w:eastAsia="Times New Roman" w:hAnsi="Times New Roman" w:cs="Times New Roman"/>
          <w:color w:val="000000"/>
          <w:sz w:val="24"/>
          <w:szCs w:val="24"/>
        </w:rPr>
        <w:t xml:space="preserve">In the </w:t>
      </w:r>
      <w:r w:rsidRPr="005A0E69">
        <w:rPr>
          <w:rFonts w:ascii="Times New Roman" w:eastAsia="Times New Roman" w:hAnsi="Times New Roman" w:cs="Times New Roman"/>
          <w:b/>
          <w:color w:val="000000"/>
          <w:sz w:val="24"/>
          <w:szCs w:val="24"/>
        </w:rPr>
        <w:t>0602 Medical Officer</w:t>
      </w:r>
      <w:r w:rsidRPr="005A0E69">
        <w:rPr>
          <w:rFonts w:ascii="Times New Roman" w:eastAsia="Times New Roman" w:hAnsi="Times New Roman" w:cs="Times New Roman"/>
          <w:color w:val="000000"/>
          <w:sz w:val="24"/>
          <w:szCs w:val="24"/>
        </w:rPr>
        <w:t xml:space="preserve"> Job Series, the following patterns were identified:</w:t>
      </w:r>
    </w:p>
    <w:p w:rsidR="00D373A6" w:rsidRPr="00CB1C5A" w:rsidRDefault="00D373A6" w:rsidP="009B3912">
      <w:pPr>
        <w:pStyle w:val="ListParagraph"/>
        <w:numPr>
          <w:ilvl w:val="0"/>
          <w:numId w:val="24"/>
        </w:numPr>
        <w:rPr>
          <w:color w:val="000000"/>
        </w:rPr>
      </w:pPr>
      <w:r w:rsidRPr="00A11415">
        <w:rPr>
          <w:b/>
          <w:color w:val="000000"/>
        </w:rPr>
        <w:t xml:space="preserve">Males </w:t>
      </w:r>
      <w:r w:rsidRPr="00A11415">
        <w:rPr>
          <w:color w:val="000000"/>
        </w:rPr>
        <w:t xml:space="preserve">have below expected participation as compared to the </w:t>
      </w:r>
      <w:r>
        <w:rPr>
          <w:color w:val="000000"/>
        </w:rPr>
        <w:t>R</w:t>
      </w:r>
      <w:r w:rsidRPr="00ED3017">
        <w:rPr>
          <w:color w:val="000000"/>
        </w:rPr>
        <w:t xml:space="preserve">CLF (58.9% as compared to </w:t>
      </w:r>
      <w:r w:rsidRPr="00846E7B">
        <w:rPr>
          <w:color w:val="000000"/>
        </w:rPr>
        <w:t>68.1</w:t>
      </w:r>
      <w:r w:rsidRPr="00CB1C5A">
        <w:rPr>
          <w:color w:val="000000"/>
        </w:rPr>
        <w:t>%), ne</w:t>
      </w:r>
      <w:r w:rsidRPr="00ED3017">
        <w:rPr>
          <w:color w:val="000000"/>
        </w:rPr>
        <w:t>w hires were also below expected participation (49.</w:t>
      </w:r>
      <w:r>
        <w:rPr>
          <w:color w:val="000000"/>
        </w:rPr>
        <w:t>6</w:t>
      </w:r>
      <w:r w:rsidRPr="00ED3017">
        <w:rPr>
          <w:color w:val="000000"/>
        </w:rPr>
        <w:t xml:space="preserve">% as compared to </w:t>
      </w:r>
      <w:r w:rsidRPr="00846E7B">
        <w:rPr>
          <w:color w:val="000000"/>
        </w:rPr>
        <w:t>68.1</w:t>
      </w:r>
      <w:r w:rsidRPr="00CB1C5A">
        <w:rPr>
          <w:color w:val="000000"/>
        </w:rPr>
        <w:t>%)</w:t>
      </w:r>
    </w:p>
    <w:p w:rsidR="00D373A6" w:rsidRDefault="00D373A6" w:rsidP="009B3912">
      <w:pPr>
        <w:pStyle w:val="ListParagraph"/>
        <w:numPr>
          <w:ilvl w:val="0"/>
          <w:numId w:val="24"/>
        </w:numPr>
        <w:rPr>
          <w:color w:val="000000"/>
        </w:rPr>
      </w:pPr>
      <w:r w:rsidRPr="00ED3017">
        <w:rPr>
          <w:b/>
          <w:color w:val="000000"/>
        </w:rPr>
        <w:t>White males</w:t>
      </w:r>
      <w:r w:rsidRPr="00ED3017">
        <w:rPr>
          <w:color w:val="000000"/>
        </w:rPr>
        <w:t xml:space="preserve"> have below expected participati</w:t>
      </w:r>
      <w:r w:rsidRPr="00EB3A71">
        <w:rPr>
          <w:color w:val="000000"/>
        </w:rPr>
        <w:t xml:space="preserve">on as compared to the </w:t>
      </w:r>
      <w:r>
        <w:rPr>
          <w:color w:val="000000"/>
        </w:rPr>
        <w:t>R</w:t>
      </w:r>
      <w:r w:rsidRPr="00ED3017">
        <w:rPr>
          <w:color w:val="000000"/>
        </w:rPr>
        <w:t>CLF (</w:t>
      </w:r>
      <w:r>
        <w:rPr>
          <w:color w:val="000000"/>
        </w:rPr>
        <w:t>44.7</w:t>
      </w:r>
      <w:r w:rsidRPr="00ED3017">
        <w:rPr>
          <w:color w:val="000000"/>
        </w:rPr>
        <w:t>% a</w:t>
      </w:r>
      <w:r w:rsidRPr="00EB3A71">
        <w:rPr>
          <w:color w:val="000000"/>
        </w:rPr>
        <w:t>s compared to 51.5</w:t>
      </w:r>
      <w:r w:rsidRPr="005A0E69">
        <w:rPr>
          <w:color w:val="000000"/>
        </w:rPr>
        <w:t xml:space="preserve">%), new hires were also below expected participation (31.71% as compared to 51.5%). </w:t>
      </w:r>
    </w:p>
    <w:p w:rsidR="00D373A6" w:rsidRPr="005A0E69" w:rsidRDefault="00D373A6" w:rsidP="009B3912">
      <w:pPr>
        <w:pStyle w:val="ListParagraph"/>
        <w:numPr>
          <w:ilvl w:val="0"/>
          <w:numId w:val="24"/>
        </w:numPr>
        <w:rPr>
          <w:color w:val="000000"/>
        </w:rPr>
      </w:pPr>
      <w:r w:rsidRPr="005A0E69">
        <w:rPr>
          <w:b/>
          <w:color w:val="000000"/>
        </w:rPr>
        <w:t>White females</w:t>
      </w:r>
      <w:r>
        <w:rPr>
          <w:color w:val="000000"/>
        </w:rPr>
        <w:t xml:space="preserve"> also have above</w:t>
      </w:r>
      <w:r w:rsidRPr="005A0E69">
        <w:rPr>
          <w:color w:val="000000"/>
        </w:rPr>
        <w:t xml:space="preserve"> expected participation as compared to the </w:t>
      </w:r>
      <w:r>
        <w:rPr>
          <w:color w:val="000000"/>
        </w:rPr>
        <w:t>RCLF (25.3</w:t>
      </w:r>
      <w:r w:rsidRPr="00ED3017">
        <w:rPr>
          <w:color w:val="000000"/>
        </w:rPr>
        <w:t>% as compared to 21.0</w:t>
      </w:r>
      <w:r w:rsidRPr="005A0E69">
        <w:rPr>
          <w:color w:val="000000"/>
        </w:rPr>
        <w:t>%)</w:t>
      </w:r>
    </w:p>
    <w:p w:rsidR="00D373A6" w:rsidRPr="00CB1C5A" w:rsidRDefault="00D373A6" w:rsidP="009B3912">
      <w:pPr>
        <w:pStyle w:val="ListParagraph"/>
        <w:numPr>
          <w:ilvl w:val="0"/>
          <w:numId w:val="24"/>
        </w:numPr>
        <w:rPr>
          <w:color w:val="000000"/>
        </w:rPr>
      </w:pPr>
      <w:r w:rsidRPr="005A0E69">
        <w:rPr>
          <w:b/>
          <w:color w:val="000000"/>
        </w:rPr>
        <w:t>Black males</w:t>
      </w:r>
      <w:r w:rsidRPr="005A0E69">
        <w:rPr>
          <w:color w:val="000000"/>
        </w:rPr>
        <w:t xml:space="preserve"> have below expected participation as compared to the CLF (1.4% as compared to </w:t>
      </w:r>
      <w:r w:rsidRPr="00846E7B">
        <w:rPr>
          <w:color w:val="000000"/>
        </w:rPr>
        <w:t>2.5%),</w:t>
      </w:r>
      <w:r w:rsidRPr="00CB1C5A">
        <w:rPr>
          <w:color w:val="000000"/>
        </w:rPr>
        <w:t xml:space="preserve"> new hires were also below expected participati</w:t>
      </w:r>
      <w:r>
        <w:rPr>
          <w:color w:val="000000"/>
        </w:rPr>
        <w:t>on (1.6</w:t>
      </w:r>
      <w:r w:rsidRPr="00ED3017">
        <w:rPr>
          <w:color w:val="000000"/>
        </w:rPr>
        <w:t xml:space="preserve">% as compared to </w:t>
      </w:r>
      <w:r w:rsidRPr="00846E7B">
        <w:rPr>
          <w:color w:val="000000"/>
        </w:rPr>
        <w:t>2.5%)</w:t>
      </w:r>
      <w:r>
        <w:rPr>
          <w:color w:val="000000"/>
        </w:rPr>
        <w:t>.</w:t>
      </w:r>
    </w:p>
    <w:p w:rsidR="00D373A6" w:rsidRPr="00ED3017" w:rsidRDefault="00D373A6" w:rsidP="009B3912">
      <w:pPr>
        <w:pStyle w:val="ListParagraph"/>
        <w:numPr>
          <w:ilvl w:val="0"/>
          <w:numId w:val="24"/>
        </w:numPr>
        <w:rPr>
          <w:color w:val="000000"/>
        </w:rPr>
      </w:pPr>
      <w:r w:rsidRPr="00ED3017">
        <w:rPr>
          <w:b/>
          <w:color w:val="000000"/>
        </w:rPr>
        <w:t>AI/AN males</w:t>
      </w:r>
      <w:r w:rsidRPr="00ED3017">
        <w:rPr>
          <w:color w:val="000000"/>
        </w:rPr>
        <w:t xml:space="preserve"> have below expected participation as compared to the CLF (0</w:t>
      </w:r>
      <w:r>
        <w:rPr>
          <w:color w:val="000000"/>
        </w:rPr>
        <w:t>.0</w:t>
      </w:r>
      <w:r w:rsidRPr="00ED3017">
        <w:rPr>
          <w:color w:val="000000"/>
        </w:rPr>
        <w:t xml:space="preserve">% as compared to </w:t>
      </w:r>
      <w:r w:rsidRPr="00846E7B">
        <w:rPr>
          <w:color w:val="000000"/>
        </w:rPr>
        <w:t>0.2</w:t>
      </w:r>
      <w:r w:rsidRPr="00CB1C5A">
        <w:rPr>
          <w:color w:val="000000"/>
        </w:rPr>
        <w:t>%), new hires were also below expected participation (0</w:t>
      </w:r>
      <w:r>
        <w:rPr>
          <w:color w:val="000000"/>
        </w:rPr>
        <w:t>.0</w:t>
      </w:r>
      <w:r w:rsidRPr="00CB1C5A">
        <w:rPr>
          <w:color w:val="000000"/>
        </w:rPr>
        <w:t xml:space="preserve">% as compared to </w:t>
      </w:r>
      <w:r w:rsidRPr="00846E7B">
        <w:rPr>
          <w:color w:val="000000"/>
        </w:rPr>
        <w:t>0.2</w:t>
      </w:r>
      <w:r w:rsidRPr="00CB1C5A">
        <w:rPr>
          <w:color w:val="000000"/>
        </w:rPr>
        <w:t>%)</w:t>
      </w:r>
      <w:r w:rsidRPr="00ED3017">
        <w:rPr>
          <w:color w:val="000000"/>
        </w:rPr>
        <w:t xml:space="preserve">. </w:t>
      </w:r>
    </w:p>
    <w:p w:rsidR="00D373A6" w:rsidRDefault="00D373A6" w:rsidP="00D373A6">
      <w:pPr>
        <w:spacing w:after="0" w:line="240" w:lineRule="auto"/>
        <w:rPr>
          <w:sz w:val="24"/>
          <w:szCs w:val="24"/>
        </w:rPr>
      </w:pPr>
      <w:bookmarkStart w:id="45" w:name="_Toc281476819"/>
      <w:bookmarkStart w:id="46" w:name="_Toc281482921"/>
      <w:bookmarkStart w:id="47" w:name="_Toc281646734"/>
      <w:bookmarkStart w:id="48" w:name="_Toc282169736"/>
      <w:bookmarkStart w:id="49" w:name="_Toc283564192"/>
    </w:p>
    <w:p w:rsidR="00977831" w:rsidRDefault="00977831">
      <w:pPr>
        <w:rPr>
          <w:rFonts w:ascii="Cambria" w:eastAsia="Times New Roman" w:hAnsi="Cambria" w:cs="Times New Roman"/>
          <w:b/>
          <w:bCs/>
          <w:kern w:val="32"/>
          <w:sz w:val="32"/>
          <w:szCs w:val="32"/>
        </w:rPr>
      </w:pPr>
      <w:bookmarkStart w:id="50" w:name="_Toc411523431"/>
      <w:r>
        <w:br w:type="page"/>
      </w:r>
    </w:p>
    <w:p w:rsidR="00D373A6" w:rsidRPr="000E3826" w:rsidRDefault="00D373A6" w:rsidP="00D373A6">
      <w:pPr>
        <w:pStyle w:val="Heading1"/>
      </w:pPr>
      <w:r w:rsidRPr="00EE651E">
        <w:lastRenderedPageBreak/>
        <w:t>Investigator Workforce</w:t>
      </w:r>
      <w:bookmarkEnd w:id="45"/>
      <w:bookmarkEnd w:id="46"/>
      <w:bookmarkEnd w:id="47"/>
      <w:bookmarkEnd w:id="48"/>
      <w:bookmarkEnd w:id="49"/>
      <w:bookmarkEnd w:id="50"/>
      <w:r w:rsidRPr="00EE651E">
        <w:br/>
      </w:r>
    </w:p>
    <w:p w:rsidR="00D373A6" w:rsidRPr="00EE651E" w:rsidRDefault="00D373A6" w:rsidP="00D373A6">
      <w:pPr>
        <w:spacing w:after="0" w:line="240" w:lineRule="auto"/>
        <w:rPr>
          <w:rFonts w:ascii="Times New Roman" w:hAnsi="Times New Roman" w:cs="Times New Roman"/>
          <w:sz w:val="24"/>
          <w:szCs w:val="24"/>
        </w:rPr>
      </w:pPr>
      <w:r w:rsidRPr="00EE651E">
        <w:rPr>
          <w:rFonts w:ascii="Times New Roman" w:hAnsi="Times New Roman" w:cs="Times New Roman"/>
          <w:sz w:val="24"/>
          <w:szCs w:val="24"/>
        </w:rPr>
        <w:t>Data Source: Office of Intramural Research as of October 1, 2014</w:t>
      </w:r>
    </w:p>
    <w:p w:rsidR="00D373A6" w:rsidRPr="00EE651E" w:rsidRDefault="00D373A6" w:rsidP="00D373A6">
      <w:pPr>
        <w:spacing w:after="0" w:line="240" w:lineRule="auto"/>
        <w:rPr>
          <w:rFonts w:ascii="Times New Roman" w:hAnsi="Times New Roman" w:cs="Times New Roman"/>
          <w:sz w:val="24"/>
          <w:szCs w:val="24"/>
        </w:rPr>
      </w:pPr>
    </w:p>
    <w:p w:rsidR="00D373A6" w:rsidRPr="00EE651E" w:rsidRDefault="00D373A6" w:rsidP="00D373A6">
      <w:pPr>
        <w:spacing w:line="240" w:lineRule="auto"/>
        <w:rPr>
          <w:rFonts w:ascii="Times New Roman" w:hAnsi="Times New Roman" w:cs="Times New Roman"/>
          <w:sz w:val="24"/>
          <w:szCs w:val="24"/>
        </w:rPr>
      </w:pPr>
      <w:r w:rsidRPr="00EE651E">
        <w:rPr>
          <w:rFonts w:ascii="Times New Roman" w:hAnsi="Times New Roman" w:cs="Times New Roman"/>
          <w:color w:val="000000"/>
          <w:sz w:val="24"/>
          <w:szCs w:val="24"/>
        </w:rPr>
        <w:t>Participation rates for NIH Investigators are displayed in the charts below.</w:t>
      </w:r>
    </w:p>
    <w:p w:rsidR="00D373A6" w:rsidRPr="00EE651E" w:rsidRDefault="00D373A6" w:rsidP="00D373A6">
      <w:pPr>
        <w:spacing w:line="240" w:lineRule="auto"/>
        <w:jc w:val="center"/>
        <w:rPr>
          <w:sz w:val="24"/>
          <w:szCs w:val="24"/>
        </w:rPr>
      </w:pPr>
      <w:r w:rsidRPr="00EE651E">
        <w:rPr>
          <w:noProof/>
          <w:sz w:val="24"/>
          <w:szCs w:val="24"/>
        </w:rPr>
        <w:drawing>
          <wp:inline distT="0" distB="0" distL="0" distR="0" wp14:anchorId="08D8973B" wp14:editId="782E575F">
            <wp:extent cx="2988733" cy="2154767"/>
            <wp:effectExtent l="0" t="0" r="21590" b="17145"/>
            <wp:docPr id="80" name="Chart 80" descr="This pie chart shows the NIH Investigator Workforce by Sex as of October 1, 2014: 61.9% are male, and 38.1% are female." title="NIH Investigator Workforce by Sex as of October 1,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373A6" w:rsidRPr="00EE651E" w:rsidRDefault="00D373A6" w:rsidP="00D373A6">
      <w:pPr>
        <w:spacing w:line="240" w:lineRule="auto"/>
        <w:jc w:val="center"/>
        <w:rPr>
          <w:sz w:val="24"/>
          <w:szCs w:val="24"/>
        </w:rPr>
      </w:pPr>
      <w:r w:rsidRPr="00EE651E">
        <w:rPr>
          <w:noProof/>
          <w:sz w:val="24"/>
          <w:szCs w:val="24"/>
        </w:rPr>
        <w:drawing>
          <wp:inline distT="0" distB="0" distL="0" distR="0" wp14:anchorId="24DAC668" wp14:editId="77FA5706">
            <wp:extent cx="5497958" cy="2332355"/>
            <wp:effectExtent l="0" t="0" r="26670" b="10795"/>
            <wp:docPr id="81" name="Chart 81" descr="This bar chart shows the NIH Investigator Workforce by Race/Ethnicity and Sex as of October 1, 2014.&#10;" title="NIH Investigator Workforce by Race/Ethnicity and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373A6" w:rsidRPr="00EE651E" w:rsidRDefault="00D373A6" w:rsidP="00D373A6">
      <w:pPr>
        <w:spacing w:line="240" w:lineRule="auto"/>
        <w:jc w:val="center"/>
        <w:rPr>
          <w:rFonts w:asciiTheme="majorHAnsi" w:eastAsiaTheme="majorEastAsia" w:hAnsiTheme="majorHAnsi" w:cstheme="majorBidi"/>
          <w:color w:val="4F81BD" w:themeColor="accent1"/>
          <w:sz w:val="24"/>
          <w:szCs w:val="24"/>
        </w:rPr>
      </w:pPr>
      <w:r w:rsidRPr="00EE651E">
        <w:rPr>
          <w:noProof/>
          <w:sz w:val="24"/>
          <w:szCs w:val="24"/>
        </w:rPr>
        <w:drawing>
          <wp:inline distT="0" distB="0" distL="0" distR="0" wp14:anchorId="59E979D0" wp14:editId="6CF30B55">
            <wp:extent cx="5497958" cy="2171700"/>
            <wp:effectExtent l="0" t="0" r="26670" b="19050"/>
            <wp:docPr id="82" name="Chart 82" descr="This bar chart shows the NIH Investigator Workforce by Disability Status  as of October 1, 2014, which ranges from 3.3% for those with reportable disabilities, to 0.0% for those with targeted disabilities." title="NIH Investigator Workforce by Disability Status  as of October 1,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73A6" w:rsidRPr="00EE651E" w:rsidRDefault="00D373A6" w:rsidP="00D373A6">
      <w:pPr>
        <w:pStyle w:val="Heading2"/>
        <w:rPr>
          <w:sz w:val="24"/>
          <w:szCs w:val="24"/>
        </w:rPr>
      </w:pPr>
      <w:bookmarkStart w:id="51" w:name="_Toc281476820"/>
      <w:bookmarkStart w:id="52" w:name="_Toc281482922"/>
      <w:bookmarkStart w:id="53" w:name="_Toc281646735"/>
      <w:bookmarkStart w:id="54" w:name="_Toc282169737"/>
      <w:bookmarkStart w:id="55" w:name="_Toc283564193"/>
      <w:bookmarkStart w:id="56" w:name="_Toc411523432"/>
      <w:r w:rsidRPr="00EE651E">
        <w:rPr>
          <w:sz w:val="24"/>
          <w:szCs w:val="24"/>
        </w:rPr>
        <w:lastRenderedPageBreak/>
        <w:t>Senior Investigator Workforce</w:t>
      </w:r>
      <w:bookmarkEnd w:id="51"/>
      <w:bookmarkEnd w:id="52"/>
      <w:bookmarkEnd w:id="53"/>
      <w:bookmarkEnd w:id="54"/>
      <w:bookmarkEnd w:id="55"/>
      <w:bookmarkEnd w:id="56"/>
    </w:p>
    <w:p w:rsidR="00D373A6" w:rsidRPr="00EE651E" w:rsidRDefault="00D373A6" w:rsidP="00D373A6">
      <w:pPr>
        <w:spacing w:line="240" w:lineRule="auto"/>
        <w:jc w:val="center"/>
        <w:rPr>
          <w:sz w:val="24"/>
          <w:szCs w:val="24"/>
        </w:rPr>
      </w:pPr>
      <w:r w:rsidRPr="00EE651E">
        <w:rPr>
          <w:noProof/>
          <w:sz w:val="24"/>
          <w:szCs w:val="24"/>
        </w:rPr>
        <w:drawing>
          <wp:inline distT="0" distB="0" distL="0" distR="0" wp14:anchorId="4306B5DD" wp14:editId="737BAE08">
            <wp:extent cx="2514600" cy="2773045"/>
            <wp:effectExtent l="0" t="0" r="19050" b="27305"/>
            <wp:docPr id="83" name="Chart 83" descr="This pie chart shows the NIH Senior Investigator Workforce by Sex as of October 1, 2014: 79.4% are male, and 20.6% are female." title="NIH Senior Investigator Workforce by Sex as of October 1,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373A6" w:rsidRPr="00EE651E" w:rsidRDefault="002E7E50" w:rsidP="00D373A6">
      <w:pPr>
        <w:spacing w:line="240" w:lineRule="auto"/>
        <w:rPr>
          <w:sz w:val="24"/>
          <w:szCs w:val="24"/>
        </w:rPr>
      </w:pPr>
      <w:r>
        <w:rPr>
          <w:noProof/>
        </w:rPr>
        <w:drawing>
          <wp:inline distT="0" distB="0" distL="0" distR="0" wp14:anchorId="72417DC1" wp14:editId="0177D3FA">
            <wp:extent cx="5686425" cy="4122738"/>
            <wp:effectExtent l="0" t="0" r="9525"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373A6" w:rsidRPr="00EE651E" w:rsidRDefault="00D373A6" w:rsidP="00D373A6">
      <w:pPr>
        <w:spacing w:line="240" w:lineRule="auto"/>
        <w:jc w:val="center"/>
        <w:rPr>
          <w:sz w:val="24"/>
          <w:szCs w:val="24"/>
        </w:rPr>
      </w:pPr>
      <w:r w:rsidRPr="00EE651E">
        <w:rPr>
          <w:noProof/>
          <w:sz w:val="24"/>
          <w:szCs w:val="24"/>
        </w:rPr>
        <w:lastRenderedPageBreak/>
        <w:drawing>
          <wp:inline distT="0" distB="0" distL="0" distR="0" wp14:anchorId="6D7A7B4A" wp14:editId="0ED8AF16">
            <wp:extent cx="5497958" cy="1828800"/>
            <wp:effectExtent l="0" t="0" r="26670" b="19050"/>
            <wp:docPr id="85" name="Chart 85" descr="This bar chart shows the NIH Senior Investigator Workforce by Disability Status as of October 1, 2014.&#10;" title="NIH Senior Investigator Workforce by Disability Status as of October 1,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73A6" w:rsidRPr="00EE651E" w:rsidRDefault="00D373A6" w:rsidP="00D373A6">
      <w:pPr>
        <w:pStyle w:val="Heading1"/>
      </w:pPr>
      <w:r w:rsidRPr="00EE651E">
        <w:br/>
      </w:r>
      <w:bookmarkStart w:id="57" w:name="_Toc281482923"/>
      <w:bookmarkStart w:id="58" w:name="_Toc281646736"/>
      <w:bookmarkStart w:id="59" w:name="_Toc282169738"/>
      <w:bookmarkStart w:id="60" w:name="_Toc283564194"/>
      <w:bookmarkStart w:id="61" w:name="_Toc411523433"/>
      <w:r w:rsidRPr="00EE651E">
        <w:t>Lab and Branch Chief Workforce</w:t>
      </w:r>
      <w:bookmarkEnd w:id="57"/>
      <w:bookmarkEnd w:id="58"/>
      <w:bookmarkEnd w:id="59"/>
      <w:bookmarkEnd w:id="60"/>
      <w:bookmarkEnd w:id="61"/>
      <w:r w:rsidRPr="00EE651E">
        <w:br/>
      </w:r>
    </w:p>
    <w:p w:rsidR="00D373A6" w:rsidRPr="00EE651E" w:rsidRDefault="00D373A6" w:rsidP="00D373A6">
      <w:pPr>
        <w:spacing w:after="0" w:line="240" w:lineRule="auto"/>
        <w:rPr>
          <w:rFonts w:ascii="Times New Roman" w:hAnsi="Times New Roman" w:cs="Times New Roman"/>
          <w:sz w:val="24"/>
          <w:szCs w:val="24"/>
        </w:rPr>
      </w:pPr>
      <w:r w:rsidRPr="00EE651E">
        <w:rPr>
          <w:rFonts w:ascii="Times New Roman" w:hAnsi="Times New Roman" w:cs="Times New Roman"/>
          <w:sz w:val="24"/>
          <w:szCs w:val="24"/>
        </w:rPr>
        <w:t>Data Source: Office of Intramural Research</w:t>
      </w:r>
    </w:p>
    <w:p w:rsidR="00D373A6" w:rsidRPr="00EE651E" w:rsidRDefault="00D373A6" w:rsidP="00D373A6">
      <w:pPr>
        <w:spacing w:after="0" w:line="240" w:lineRule="auto"/>
        <w:rPr>
          <w:rFonts w:ascii="Times New Roman" w:hAnsi="Times New Roman" w:cs="Times New Roman"/>
          <w:sz w:val="24"/>
          <w:szCs w:val="24"/>
        </w:rPr>
      </w:pPr>
      <w:r w:rsidRPr="00EE651E">
        <w:rPr>
          <w:rFonts w:ascii="Times New Roman" w:hAnsi="Times New Roman" w:cs="Times New Roman"/>
          <w:sz w:val="24"/>
          <w:szCs w:val="24"/>
        </w:rPr>
        <w:t>RNO and Disability Data obtained from nVision Human Resources Database</w:t>
      </w:r>
    </w:p>
    <w:p w:rsidR="00D373A6" w:rsidRPr="00EE651E" w:rsidRDefault="00D373A6" w:rsidP="00D373A6">
      <w:pPr>
        <w:spacing w:after="0" w:line="240" w:lineRule="auto"/>
        <w:rPr>
          <w:rFonts w:ascii="Times New Roman" w:hAnsi="Times New Roman" w:cs="Times New Roman"/>
          <w:sz w:val="24"/>
          <w:szCs w:val="24"/>
        </w:rPr>
      </w:pPr>
      <w:r w:rsidRPr="00EE651E">
        <w:rPr>
          <w:rFonts w:ascii="Times New Roman" w:hAnsi="Times New Roman" w:cs="Times New Roman"/>
          <w:sz w:val="24"/>
          <w:szCs w:val="24"/>
        </w:rPr>
        <w:t>Demographic Data downloaded from nVision Human Resources Database: October 23, 2014</w:t>
      </w:r>
    </w:p>
    <w:p w:rsidR="00D373A6" w:rsidRPr="00EE651E" w:rsidRDefault="00D373A6" w:rsidP="00D373A6">
      <w:pPr>
        <w:spacing w:after="0" w:line="240" w:lineRule="auto"/>
        <w:rPr>
          <w:rFonts w:ascii="Times New Roman" w:hAnsi="Times New Roman" w:cs="Times New Roman"/>
          <w:sz w:val="24"/>
          <w:szCs w:val="24"/>
        </w:rPr>
      </w:pPr>
      <w:r w:rsidRPr="00EE651E">
        <w:rPr>
          <w:rFonts w:ascii="Times New Roman" w:hAnsi="Times New Roman" w:cs="Times New Roman"/>
          <w:sz w:val="24"/>
          <w:szCs w:val="24"/>
        </w:rPr>
        <w:t>Note: Some individuals serve in more than one position</w:t>
      </w:r>
    </w:p>
    <w:p w:rsidR="00D373A6" w:rsidRDefault="00D373A6" w:rsidP="00D373A6">
      <w:pPr>
        <w:spacing w:after="0" w:line="240" w:lineRule="auto"/>
        <w:rPr>
          <w:rFonts w:ascii="Times New Roman" w:hAnsi="Times New Roman" w:cs="Times New Roman"/>
          <w:color w:val="000000"/>
          <w:sz w:val="24"/>
          <w:szCs w:val="24"/>
        </w:rPr>
      </w:pPr>
    </w:p>
    <w:p w:rsidR="00D373A6" w:rsidRPr="00EE651E" w:rsidRDefault="00D373A6" w:rsidP="00D373A6">
      <w:pPr>
        <w:spacing w:line="240" w:lineRule="auto"/>
        <w:rPr>
          <w:rFonts w:ascii="Times New Roman" w:hAnsi="Times New Roman" w:cs="Times New Roman"/>
          <w:sz w:val="24"/>
          <w:szCs w:val="24"/>
        </w:rPr>
      </w:pPr>
      <w:r w:rsidRPr="00EE651E">
        <w:rPr>
          <w:rFonts w:ascii="Times New Roman" w:hAnsi="Times New Roman" w:cs="Times New Roman"/>
          <w:color w:val="000000"/>
          <w:sz w:val="24"/>
          <w:szCs w:val="24"/>
        </w:rPr>
        <w:t>Participation rates for NIH Lab and Branch Chiefs are displayed in the charts below.</w:t>
      </w:r>
    </w:p>
    <w:p w:rsidR="00D373A6" w:rsidRDefault="00D373A6" w:rsidP="00D373A6">
      <w:pPr>
        <w:spacing w:after="0" w:line="240" w:lineRule="auto"/>
        <w:jc w:val="center"/>
        <w:rPr>
          <w:b/>
          <w:sz w:val="24"/>
          <w:szCs w:val="24"/>
        </w:rPr>
      </w:pPr>
    </w:p>
    <w:p w:rsidR="008721C1" w:rsidRPr="00EE651E" w:rsidRDefault="008721C1" w:rsidP="008721C1">
      <w:pPr>
        <w:spacing w:after="0" w:line="240" w:lineRule="auto"/>
        <w:jc w:val="center"/>
        <w:rPr>
          <w:rFonts w:eastAsia="Times New Roman" w:cs="Times New Roman"/>
          <w:b/>
          <w:bCs/>
          <w:color w:val="000000"/>
          <w:sz w:val="24"/>
          <w:szCs w:val="24"/>
        </w:rPr>
      </w:pPr>
      <w:r w:rsidRPr="00EE651E">
        <w:rPr>
          <w:rFonts w:eastAsia="Times New Roman" w:cs="Times New Roman"/>
          <w:b/>
          <w:bCs/>
          <w:color w:val="000000"/>
          <w:sz w:val="24"/>
          <w:szCs w:val="24"/>
        </w:rPr>
        <w:t>NIH Lab and Branch Chiefs by Race/Ethnicity and Sex as of September 2014</w:t>
      </w:r>
    </w:p>
    <w:p w:rsidR="008721C1" w:rsidRDefault="008721C1" w:rsidP="008721C1">
      <w:pPr>
        <w:spacing w:after="0" w:line="240" w:lineRule="auto"/>
        <w:jc w:val="center"/>
        <w:rPr>
          <w:b/>
          <w:sz w:val="24"/>
          <w:szCs w:val="24"/>
        </w:rPr>
      </w:pPr>
      <w:r w:rsidRPr="00EE651E">
        <w:rPr>
          <w:rFonts w:eastAsia="Times New Roman" w:cs="Times New Roman"/>
          <w:b/>
          <w:bCs/>
          <w:color w:val="000000"/>
          <w:sz w:val="24"/>
          <w:szCs w:val="24"/>
        </w:rPr>
        <w:t>(Excludes employees in Acting Positions; Some individuals serve in more than one position)</w:t>
      </w:r>
    </w:p>
    <w:tbl>
      <w:tblPr>
        <w:tblStyle w:val="TableGrid"/>
        <w:tblW w:w="0" w:type="auto"/>
        <w:tblLook w:val="04A0" w:firstRow="1" w:lastRow="0" w:firstColumn="1" w:lastColumn="0" w:noHBand="0" w:noVBand="1"/>
      </w:tblPr>
      <w:tblGrid>
        <w:gridCol w:w="6228"/>
        <w:gridCol w:w="1800"/>
        <w:gridCol w:w="1548"/>
      </w:tblGrid>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bCs/>
                <w:color w:val="000000"/>
                <w:sz w:val="20"/>
                <w:szCs w:val="20"/>
              </w:rPr>
              <w:t>Race/Ethnicity and Sex</w:t>
            </w:r>
          </w:p>
        </w:tc>
        <w:tc>
          <w:tcPr>
            <w:tcW w:w="1800" w:type="dxa"/>
            <w:vAlign w:val="center"/>
          </w:tcPr>
          <w:p w:rsidR="00F739D6" w:rsidRPr="002C0738" w:rsidRDefault="00F739D6" w:rsidP="00107C13">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Count</w:t>
            </w:r>
          </w:p>
        </w:tc>
        <w:tc>
          <w:tcPr>
            <w:tcW w:w="1548" w:type="dxa"/>
            <w:vAlign w:val="center"/>
          </w:tcPr>
          <w:p w:rsidR="00F739D6" w:rsidRPr="002C0738" w:rsidRDefault="00F739D6" w:rsidP="00107C13">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 of Total</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White</w:t>
            </w:r>
          </w:p>
          <w:p w:rsidR="00F739D6" w:rsidRPr="002C0738" w:rsidRDefault="00F739D6" w:rsidP="008721C1">
            <w:pPr>
              <w:jc w:val="center"/>
              <w:rPr>
                <w:rFonts w:asciiTheme="minorHAnsi" w:hAnsiTheme="minorHAnsi"/>
                <w:b/>
                <w:sz w:val="20"/>
                <w:szCs w:val="20"/>
              </w:rPr>
            </w:pPr>
            <w:r w:rsidRPr="002C0738">
              <w:rPr>
                <w:rFonts w:asciiTheme="minorHAnsi" w:eastAsia="Times New Roman" w:hAnsiTheme="minorHAnsi" w:cs="Arial"/>
                <w:b/>
                <w:color w:val="000000"/>
                <w:sz w:val="20"/>
                <w:szCs w:val="20"/>
              </w:rPr>
              <w:t>(Not Hispanic) 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193</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68.4%</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White</w:t>
            </w:r>
          </w:p>
          <w:p w:rsidR="00F739D6" w:rsidRPr="002C0738" w:rsidRDefault="00F739D6" w:rsidP="008721C1">
            <w:pPr>
              <w:jc w:val="center"/>
              <w:rPr>
                <w:rFonts w:asciiTheme="minorHAnsi" w:hAnsiTheme="minorHAnsi"/>
                <w:b/>
                <w:sz w:val="20"/>
                <w:szCs w:val="20"/>
              </w:rPr>
            </w:pPr>
            <w:r w:rsidRPr="002C0738">
              <w:rPr>
                <w:rFonts w:asciiTheme="minorHAnsi" w:eastAsia="Times New Roman" w:hAnsiTheme="minorHAnsi" w:cs="Arial"/>
                <w:b/>
                <w:color w:val="000000"/>
                <w:sz w:val="20"/>
                <w:szCs w:val="20"/>
              </w:rPr>
              <w:t>(Not Hispanic) Female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45</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16.0%</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White</w:t>
            </w:r>
          </w:p>
          <w:p w:rsidR="00F739D6" w:rsidRPr="002C0738" w:rsidRDefault="00F739D6" w:rsidP="008721C1">
            <w:pPr>
              <w:jc w:val="center"/>
              <w:rPr>
                <w:rFonts w:asciiTheme="minorHAnsi" w:hAnsiTheme="minorHAnsi"/>
                <w:b/>
                <w:sz w:val="20"/>
                <w:szCs w:val="20"/>
              </w:rPr>
            </w:pPr>
            <w:r w:rsidRPr="002C0738">
              <w:rPr>
                <w:rFonts w:asciiTheme="minorHAnsi" w:eastAsia="Times New Roman" w:hAnsiTheme="minorHAnsi" w:cs="Arial"/>
                <w:b/>
                <w:color w:val="000000"/>
                <w:sz w:val="20"/>
                <w:szCs w:val="20"/>
              </w:rPr>
              <w:t>(Not Hispanic) Total</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238</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84.4%</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Black</w:t>
            </w:r>
          </w:p>
          <w:p w:rsidR="00F739D6" w:rsidRPr="002C0738" w:rsidRDefault="00F739D6" w:rsidP="008721C1">
            <w:pPr>
              <w:jc w:val="center"/>
              <w:rPr>
                <w:rFonts w:asciiTheme="minorHAnsi" w:hAnsiTheme="minorHAnsi"/>
                <w:b/>
                <w:sz w:val="20"/>
                <w:szCs w:val="20"/>
              </w:rPr>
            </w:pPr>
            <w:r w:rsidRPr="002C0738">
              <w:rPr>
                <w:rFonts w:asciiTheme="minorHAnsi" w:eastAsia="Times New Roman" w:hAnsiTheme="minorHAnsi" w:cs="Arial"/>
                <w:b/>
                <w:color w:val="000000"/>
                <w:sz w:val="20"/>
                <w:szCs w:val="20"/>
              </w:rPr>
              <w:t>(Not Hispanic) 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7</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2.5%</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Black</w:t>
            </w:r>
          </w:p>
          <w:p w:rsidR="00F739D6" w:rsidRPr="002C0738" w:rsidRDefault="00F739D6" w:rsidP="008721C1">
            <w:pPr>
              <w:jc w:val="center"/>
              <w:rPr>
                <w:rFonts w:asciiTheme="minorHAnsi" w:hAnsiTheme="minorHAnsi"/>
                <w:b/>
                <w:sz w:val="20"/>
                <w:szCs w:val="20"/>
              </w:rPr>
            </w:pPr>
            <w:r w:rsidRPr="002C0738">
              <w:rPr>
                <w:rFonts w:asciiTheme="minorHAnsi" w:eastAsia="Times New Roman" w:hAnsiTheme="minorHAnsi" w:cs="Arial"/>
                <w:b/>
                <w:color w:val="000000"/>
                <w:sz w:val="20"/>
                <w:szCs w:val="20"/>
              </w:rPr>
              <w:t>(Not Hispanic) Female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0.0%</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Black</w:t>
            </w:r>
          </w:p>
          <w:p w:rsidR="00F739D6" w:rsidRPr="002C0738" w:rsidRDefault="00F739D6" w:rsidP="008721C1">
            <w:pPr>
              <w:jc w:val="center"/>
              <w:rPr>
                <w:rFonts w:asciiTheme="minorHAnsi" w:hAnsiTheme="minorHAnsi"/>
                <w:b/>
                <w:sz w:val="20"/>
                <w:szCs w:val="20"/>
              </w:rPr>
            </w:pPr>
            <w:r w:rsidRPr="002C0738">
              <w:rPr>
                <w:rFonts w:asciiTheme="minorHAnsi" w:eastAsia="Times New Roman" w:hAnsiTheme="minorHAnsi" w:cs="Arial"/>
                <w:b/>
                <w:color w:val="000000"/>
                <w:sz w:val="20"/>
                <w:szCs w:val="20"/>
              </w:rPr>
              <w:t>(Not Hispanic)Total</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7</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2.5%</w:t>
            </w:r>
          </w:p>
        </w:tc>
      </w:tr>
      <w:tr w:rsidR="00F739D6" w:rsidRPr="002C0738" w:rsidTr="00F739D6">
        <w:tc>
          <w:tcPr>
            <w:tcW w:w="6228" w:type="dxa"/>
          </w:tcPr>
          <w:p w:rsidR="00F739D6" w:rsidRPr="002C0738" w:rsidRDefault="00F739D6" w:rsidP="00D373A6">
            <w:pPr>
              <w:jc w:val="center"/>
              <w:rPr>
                <w:rFonts w:asciiTheme="minorHAnsi" w:hAnsiTheme="minorHAnsi"/>
                <w:b/>
                <w:sz w:val="20"/>
                <w:szCs w:val="20"/>
              </w:rPr>
            </w:pPr>
            <w:r w:rsidRPr="002C0738">
              <w:rPr>
                <w:rFonts w:asciiTheme="minorHAnsi" w:eastAsia="Times New Roman" w:hAnsiTheme="minorHAnsi"/>
                <w:b/>
                <w:color w:val="000000"/>
                <w:sz w:val="20"/>
                <w:szCs w:val="20"/>
              </w:rPr>
              <w:t>Hispanic 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8</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2.8%</w:t>
            </w:r>
          </w:p>
        </w:tc>
      </w:tr>
      <w:tr w:rsidR="00F739D6" w:rsidRPr="002C0738" w:rsidTr="00F739D6">
        <w:tc>
          <w:tcPr>
            <w:tcW w:w="6228" w:type="dxa"/>
          </w:tcPr>
          <w:p w:rsidR="00F739D6" w:rsidRPr="002C0738" w:rsidRDefault="00F739D6" w:rsidP="00D373A6">
            <w:pPr>
              <w:jc w:val="center"/>
              <w:rPr>
                <w:rFonts w:asciiTheme="minorHAnsi" w:hAnsiTheme="minorHAnsi"/>
                <w:b/>
                <w:sz w:val="20"/>
                <w:szCs w:val="20"/>
              </w:rPr>
            </w:pPr>
            <w:r w:rsidRPr="002C0738">
              <w:rPr>
                <w:rFonts w:asciiTheme="minorHAnsi" w:eastAsia="Times New Roman" w:hAnsiTheme="minorHAnsi"/>
                <w:b/>
                <w:color w:val="000000"/>
                <w:sz w:val="20"/>
                <w:szCs w:val="20"/>
              </w:rPr>
              <w:t>Hispanic Female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4</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1.4%</w:t>
            </w:r>
          </w:p>
        </w:tc>
      </w:tr>
      <w:tr w:rsidR="00F739D6" w:rsidRPr="002C0738" w:rsidTr="00F739D6">
        <w:tc>
          <w:tcPr>
            <w:tcW w:w="6228" w:type="dxa"/>
          </w:tcPr>
          <w:p w:rsidR="00F739D6" w:rsidRPr="002C0738" w:rsidRDefault="00F739D6" w:rsidP="00D373A6">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Hispanic Total</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12</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4.3%</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Asian/ Pacific Islander</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21</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7.4%</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Asian/ Pacific Islander</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Female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4</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1.4%</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Asian/ Pacific Islander</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Total</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25</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8.9%</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Asian/ Pacific Islander</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lastRenderedPageBreak/>
              <w:t>(Not Hispanic) 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lastRenderedPageBreak/>
              <w:t>0</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0.0%</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lastRenderedPageBreak/>
              <w:t>Asian/ Pacific Islander</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Female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0.0%</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Asian/ Pacific Islander</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Total</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0.0%</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American Indian or Alaska Native</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229</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81.2%</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American Indian or Alaska Native</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Female</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53</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18.8%</w:t>
            </w:r>
          </w:p>
        </w:tc>
      </w:tr>
      <w:tr w:rsidR="00F739D6" w:rsidRPr="002C0738" w:rsidTr="00F739D6">
        <w:tc>
          <w:tcPr>
            <w:tcW w:w="6228" w:type="dxa"/>
          </w:tcPr>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b/>
                <w:color w:val="000000"/>
                <w:sz w:val="20"/>
                <w:szCs w:val="20"/>
              </w:rPr>
              <w:t>American Indian or Alaska Native</w:t>
            </w:r>
          </w:p>
          <w:p w:rsidR="00F739D6" w:rsidRPr="002C0738" w:rsidRDefault="00F739D6" w:rsidP="008721C1">
            <w:pPr>
              <w:jc w:val="center"/>
              <w:rPr>
                <w:rFonts w:asciiTheme="minorHAnsi" w:eastAsia="Times New Roman" w:hAnsiTheme="minorHAnsi"/>
                <w:b/>
                <w:color w:val="000000"/>
                <w:sz w:val="20"/>
                <w:szCs w:val="20"/>
              </w:rPr>
            </w:pPr>
            <w:r w:rsidRPr="002C0738">
              <w:rPr>
                <w:rFonts w:asciiTheme="minorHAnsi" w:eastAsia="Times New Roman" w:hAnsiTheme="minorHAnsi" w:cs="Arial"/>
                <w:b/>
                <w:color w:val="000000"/>
                <w:sz w:val="20"/>
                <w:szCs w:val="20"/>
              </w:rPr>
              <w:t>(Not Hispanic) Total</w:t>
            </w:r>
          </w:p>
        </w:tc>
        <w:tc>
          <w:tcPr>
            <w:tcW w:w="1800"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282</w:t>
            </w:r>
          </w:p>
        </w:tc>
        <w:tc>
          <w:tcPr>
            <w:tcW w:w="1548" w:type="dxa"/>
          </w:tcPr>
          <w:p w:rsidR="00F739D6" w:rsidRPr="002C0738" w:rsidRDefault="00F739D6" w:rsidP="00107C13">
            <w:pPr>
              <w:autoSpaceDE w:val="0"/>
              <w:autoSpaceDN w:val="0"/>
              <w:adjustRightInd w:val="0"/>
              <w:jc w:val="center"/>
              <w:rPr>
                <w:rFonts w:asciiTheme="minorHAnsi" w:hAnsiTheme="minorHAnsi" w:cs="Calibri"/>
                <w:color w:val="000000"/>
                <w:sz w:val="20"/>
                <w:szCs w:val="20"/>
              </w:rPr>
            </w:pPr>
            <w:r w:rsidRPr="002C0738">
              <w:rPr>
                <w:rFonts w:asciiTheme="minorHAnsi" w:hAnsiTheme="minorHAnsi" w:cs="Calibri"/>
                <w:color w:val="000000"/>
                <w:sz w:val="20"/>
                <w:szCs w:val="20"/>
              </w:rPr>
              <w:t>100.0%</w:t>
            </w:r>
          </w:p>
        </w:tc>
      </w:tr>
    </w:tbl>
    <w:p w:rsidR="008721C1" w:rsidRPr="00EE651E" w:rsidRDefault="008721C1" w:rsidP="00D373A6">
      <w:pPr>
        <w:spacing w:after="0"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30"/>
        <w:gridCol w:w="1573"/>
        <w:gridCol w:w="1453"/>
        <w:gridCol w:w="2236"/>
        <w:gridCol w:w="2028"/>
      </w:tblGrid>
      <w:tr w:rsidR="00D373A6" w:rsidRPr="00E90011" w:rsidTr="009E4D83">
        <w:trPr>
          <w:trHeight w:val="334"/>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DDD9C3"/>
          </w:tcPr>
          <w:p w:rsidR="00D373A6" w:rsidRPr="00E90011" w:rsidRDefault="00D373A6" w:rsidP="009E4D83">
            <w:pPr>
              <w:spacing w:after="0" w:line="240" w:lineRule="auto"/>
              <w:jc w:val="center"/>
              <w:rPr>
                <w:rFonts w:eastAsia="Times New Roman" w:cs="Times New Roman"/>
                <w:b/>
                <w:bCs/>
                <w:color w:val="000000"/>
                <w:sz w:val="20"/>
                <w:szCs w:val="20"/>
              </w:rPr>
            </w:pPr>
            <w:r w:rsidRPr="00E90011">
              <w:rPr>
                <w:rFonts w:eastAsia="Times New Roman" w:cs="Times New Roman"/>
                <w:b/>
                <w:bCs/>
                <w:color w:val="000000"/>
                <w:sz w:val="20"/>
                <w:szCs w:val="20"/>
              </w:rPr>
              <w:t xml:space="preserve">NIH Lab and Branch Chiefs by Disability Status as of September 2014 </w:t>
            </w:r>
          </w:p>
          <w:p w:rsidR="00D373A6" w:rsidRPr="00E90011" w:rsidRDefault="00D373A6" w:rsidP="009E4D83">
            <w:pPr>
              <w:spacing w:after="0" w:line="240" w:lineRule="auto"/>
              <w:jc w:val="center"/>
              <w:rPr>
                <w:rFonts w:eastAsia="Times New Roman" w:cs="Times New Roman"/>
                <w:b/>
                <w:bCs/>
                <w:color w:val="000000"/>
                <w:sz w:val="20"/>
                <w:szCs w:val="20"/>
              </w:rPr>
            </w:pPr>
            <w:r w:rsidRPr="00E90011">
              <w:rPr>
                <w:rFonts w:eastAsia="Times New Roman" w:cs="Times New Roman"/>
                <w:b/>
                <w:bCs/>
                <w:color w:val="000000"/>
                <w:sz w:val="20"/>
                <w:szCs w:val="20"/>
              </w:rPr>
              <w:t>(Excludes employees in Acting Positions; Targeted Disability is a subset of Reportable Disability; Some individuals serve in more than one position)</w:t>
            </w:r>
          </w:p>
        </w:tc>
      </w:tr>
      <w:tr w:rsidR="00D373A6" w:rsidRPr="00E90011" w:rsidTr="009E4D83">
        <w:trPr>
          <w:trHeight w:val="107"/>
          <w:jc w:val="center"/>
        </w:trPr>
        <w:tc>
          <w:tcPr>
            <w:tcW w:w="0" w:type="auto"/>
            <w:tcBorders>
              <w:top w:val="single" w:sz="4" w:space="0" w:color="auto"/>
              <w:left w:val="single" w:sz="4" w:space="0" w:color="auto"/>
              <w:bottom w:val="single" w:sz="4" w:space="0" w:color="auto"/>
              <w:right w:val="single" w:sz="4" w:space="0" w:color="auto"/>
            </w:tcBorders>
          </w:tcPr>
          <w:p w:rsidR="00D373A6" w:rsidRPr="00E90011" w:rsidRDefault="00D373A6" w:rsidP="009E4D83">
            <w:pPr>
              <w:spacing w:after="0" w:line="240" w:lineRule="auto"/>
              <w:jc w:val="center"/>
              <w:rPr>
                <w:rFonts w:eastAsia="Times New Roman" w:cs="Times New Roman"/>
                <w:b/>
                <w:color w:val="000000"/>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373A6" w:rsidRPr="00E90011" w:rsidRDefault="00D373A6" w:rsidP="009E4D83">
            <w:pPr>
              <w:spacing w:after="0" w:line="240" w:lineRule="auto"/>
              <w:jc w:val="center"/>
              <w:rPr>
                <w:rFonts w:eastAsia="Times New Roman" w:cs="Times New Roman"/>
                <w:b/>
                <w:color w:val="000000"/>
                <w:sz w:val="20"/>
                <w:szCs w:val="20"/>
              </w:rPr>
            </w:pPr>
            <w:r w:rsidRPr="00E90011">
              <w:rPr>
                <w:rFonts w:eastAsia="Times New Roman" w:cs="Times New Roman"/>
                <w:b/>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373A6" w:rsidRPr="00E90011" w:rsidRDefault="00D373A6" w:rsidP="009E4D83">
            <w:pPr>
              <w:spacing w:after="0" w:line="240" w:lineRule="auto"/>
              <w:jc w:val="center"/>
              <w:rPr>
                <w:rFonts w:eastAsia="Times New Roman" w:cs="Times New Roman"/>
                <w:b/>
                <w:color w:val="000000"/>
                <w:sz w:val="20"/>
                <w:szCs w:val="20"/>
              </w:rPr>
            </w:pPr>
            <w:r w:rsidRPr="00E90011">
              <w:rPr>
                <w:rFonts w:eastAsia="Times New Roman" w:cs="Times New Roman"/>
                <w:b/>
                <w:color w:val="000000"/>
                <w:sz w:val="20"/>
                <w:szCs w:val="20"/>
              </w:rPr>
              <w:t>Not Identified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373A6" w:rsidRPr="00E90011" w:rsidRDefault="00D373A6" w:rsidP="009E4D83">
            <w:pPr>
              <w:spacing w:after="0" w:line="240" w:lineRule="auto"/>
              <w:jc w:val="center"/>
              <w:rPr>
                <w:rFonts w:eastAsia="Times New Roman" w:cs="Times New Roman"/>
                <w:b/>
                <w:color w:val="000000"/>
                <w:sz w:val="20"/>
                <w:szCs w:val="20"/>
              </w:rPr>
            </w:pPr>
            <w:r w:rsidRPr="00E90011">
              <w:rPr>
                <w:rFonts w:eastAsia="Times New Roman" w:cs="Times New Roman"/>
                <w:b/>
                <w:color w:val="000000"/>
                <w:sz w:val="20"/>
                <w:szCs w:val="20"/>
              </w:rPr>
              <w:t>No 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373A6" w:rsidRPr="00E90011" w:rsidRDefault="00D373A6" w:rsidP="009E4D83">
            <w:pPr>
              <w:spacing w:after="0" w:line="240" w:lineRule="auto"/>
              <w:jc w:val="center"/>
              <w:rPr>
                <w:rFonts w:eastAsia="Times New Roman" w:cs="Times New Roman"/>
                <w:b/>
                <w:color w:val="000000"/>
                <w:sz w:val="20"/>
                <w:szCs w:val="20"/>
              </w:rPr>
            </w:pPr>
            <w:r w:rsidRPr="00E90011">
              <w:rPr>
                <w:rFonts w:eastAsia="Times New Roman" w:cs="Times New Roman"/>
                <w:b/>
                <w:color w:val="000000"/>
                <w:sz w:val="20"/>
                <w:szCs w:val="20"/>
              </w:rPr>
              <w:t>Reportable 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373A6" w:rsidRPr="00E90011" w:rsidRDefault="00D373A6" w:rsidP="009E4D83">
            <w:pPr>
              <w:spacing w:after="0" w:line="240" w:lineRule="auto"/>
              <w:jc w:val="center"/>
              <w:rPr>
                <w:rFonts w:eastAsia="Times New Roman" w:cs="Times New Roman"/>
                <w:b/>
                <w:color w:val="000000"/>
                <w:sz w:val="20"/>
                <w:szCs w:val="20"/>
              </w:rPr>
            </w:pPr>
            <w:r w:rsidRPr="00E90011">
              <w:rPr>
                <w:rFonts w:eastAsia="Times New Roman" w:cs="Times New Roman"/>
                <w:b/>
                <w:color w:val="000000"/>
                <w:sz w:val="20"/>
                <w:szCs w:val="20"/>
              </w:rPr>
              <w:t>Targeted Disability</w:t>
            </w:r>
          </w:p>
        </w:tc>
      </w:tr>
      <w:tr w:rsidR="00D373A6" w:rsidRPr="00E90011" w:rsidTr="009E4D83">
        <w:trPr>
          <w:trHeight w:val="107"/>
          <w:jc w:val="center"/>
        </w:trPr>
        <w:tc>
          <w:tcPr>
            <w:tcW w:w="0" w:type="auto"/>
            <w:tcBorders>
              <w:top w:val="single" w:sz="4" w:space="0" w:color="auto"/>
              <w:left w:val="single" w:sz="4" w:space="0" w:color="auto"/>
              <w:bottom w:val="single" w:sz="4" w:space="0" w:color="auto"/>
              <w:right w:val="single" w:sz="4" w:space="0" w:color="auto"/>
            </w:tcBorders>
          </w:tcPr>
          <w:p w:rsidR="00D373A6" w:rsidRPr="00E90011" w:rsidRDefault="00D373A6" w:rsidP="009E4D83">
            <w:pPr>
              <w:autoSpaceDE w:val="0"/>
              <w:autoSpaceDN w:val="0"/>
              <w:adjustRightInd w:val="0"/>
              <w:spacing w:after="0" w:line="240" w:lineRule="auto"/>
              <w:jc w:val="center"/>
              <w:rPr>
                <w:rFonts w:cs="Calibri"/>
                <w:b/>
                <w:color w:val="000000"/>
                <w:sz w:val="20"/>
                <w:szCs w:val="20"/>
              </w:rPr>
            </w:pPr>
            <w:r w:rsidRPr="00E90011">
              <w:rPr>
                <w:rFonts w:cs="Calibri"/>
                <w:b/>
                <w:color w:val="000000"/>
                <w:sz w:val="20"/>
                <w:szCs w:val="20"/>
              </w:rPr>
              <w:t>Count</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282</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260</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0</w:t>
            </w:r>
          </w:p>
        </w:tc>
      </w:tr>
      <w:tr w:rsidR="00D373A6" w:rsidRPr="00E90011" w:rsidTr="009E4D83">
        <w:trPr>
          <w:trHeight w:val="107"/>
          <w:jc w:val="center"/>
        </w:trPr>
        <w:tc>
          <w:tcPr>
            <w:tcW w:w="0" w:type="auto"/>
            <w:tcBorders>
              <w:top w:val="single" w:sz="4" w:space="0" w:color="auto"/>
              <w:left w:val="single" w:sz="4" w:space="0" w:color="auto"/>
              <w:bottom w:val="single" w:sz="4" w:space="0" w:color="auto"/>
              <w:right w:val="single" w:sz="4" w:space="0" w:color="auto"/>
            </w:tcBorders>
          </w:tcPr>
          <w:p w:rsidR="00D373A6" w:rsidRPr="00E90011" w:rsidRDefault="00D373A6" w:rsidP="009E4D83">
            <w:pPr>
              <w:autoSpaceDE w:val="0"/>
              <w:autoSpaceDN w:val="0"/>
              <w:adjustRightInd w:val="0"/>
              <w:spacing w:after="0" w:line="240" w:lineRule="auto"/>
              <w:jc w:val="center"/>
              <w:rPr>
                <w:rFonts w:cs="Calibri"/>
                <w:b/>
                <w:color w:val="000000"/>
                <w:sz w:val="20"/>
                <w:szCs w:val="20"/>
              </w:rPr>
            </w:pPr>
            <w:r w:rsidRPr="00E90011">
              <w:rPr>
                <w:rFonts w:cs="Calibri"/>
                <w:b/>
                <w:color w:val="000000"/>
                <w:sz w:val="20"/>
                <w:szCs w:val="20"/>
              </w:rPr>
              <w:t>% of Grand Total</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100.0%</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92.2%</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noWrap/>
            <w:hideMark/>
          </w:tcPr>
          <w:p w:rsidR="00D373A6" w:rsidRPr="00E90011" w:rsidRDefault="00D373A6" w:rsidP="009E4D83">
            <w:pPr>
              <w:autoSpaceDE w:val="0"/>
              <w:autoSpaceDN w:val="0"/>
              <w:adjustRightInd w:val="0"/>
              <w:spacing w:after="0" w:line="240" w:lineRule="auto"/>
              <w:jc w:val="center"/>
              <w:rPr>
                <w:rFonts w:cs="Calibri"/>
                <w:color w:val="000000"/>
                <w:sz w:val="20"/>
                <w:szCs w:val="20"/>
              </w:rPr>
            </w:pPr>
            <w:r w:rsidRPr="00E90011">
              <w:rPr>
                <w:rFonts w:cs="Calibri"/>
                <w:color w:val="000000"/>
                <w:sz w:val="20"/>
                <w:szCs w:val="20"/>
              </w:rPr>
              <w:t>0.0%</w:t>
            </w:r>
          </w:p>
        </w:tc>
      </w:tr>
    </w:tbl>
    <w:p w:rsidR="00D373A6" w:rsidRPr="00E90011" w:rsidRDefault="00D373A6" w:rsidP="00D373A6">
      <w:pPr>
        <w:widowControl w:val="0"/>
        <w:autoSpaceDE w:val="0"/>
        <w:autoSpaceDN w:val="0"/>
        <w:adjustRightInd w:val="0"/>
        <w:spacing w:after="240" w:line="240" w:lineRule="auto"/>
        <w:rPr>
          <w:rFonts w:ascii="Times New Roman" w:eastAsia="MS Mincho" w:hAnsi="Times New Roman" w:cs="Times New Roman"/>
          <w:strike/>
          <w:sz w:val="24"/>
          <w:szCs w:val="24"/>
        </w:rPr>
      </w:pPr>
    </w:p>
    <w:p w:rsidR="00D373A6" w:rsidRPr="00057F8C" w:rsidRDefault="00D373A6" w:rsidP="00FF647C">
      <w:pPr>
        <w:spacing w:line="240" w:lineRule="auto"/>
        <w:contextualSpacing/>
        <w:rPr>
          <w:rFonts w:ascii="Times New Roman" w:hAnsi="Times New Roman" w:cs="Times New Roman"/>
          <w:sz w:val="24"/>
          <w:szCs w:val="24"/>
        </w:rPr>
      </w:pPr>
    </w:p>
    <w:sectPr w:rsidR="00D373A6" w:rsidRPr="00057F8C" w:rsidSect="00CE2617">
      <w:footerReference w:type="default" r:id="rId5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F82" w:rsidRDefault="00F46F82">
      <w:pPr>
        <w:spacing w:after="0" w:line="240" w:lineRule="auto"/>
      </w:pPr>
      <w:r>
        <w:separator/>
      </w:r>
    </w:p>
  </w:endnote>
  <w:endnote w:type="continuationSeparator" w:id="0">
    <w:p w:rsidR="00F46F82" w:rsidRDefault="00F4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168871"/>
      <w:docPartObj>
        <w:docPartGallery w:val="Page Numbers (Bottom of Page)"/>
        <w:docPartUnique/>
      </w:docPartObj>
    </w:sdtPr>
    <w:sdtEndPr/>
    <w:sdtContent>
      <w:sdt>
        <w:sdtPr>
          <w:id w:val="-1481386692"/>
          <w:docPartObj>
            <w:docPartGallery w:val="Page Numbers (Top of Page)"/>
            <w:docPartUnique/>
          </w:docPartObj>
        </w:sdtPr>
        <w:sdtEndPr/>
        <w:sdtContent>
          <w:p w:rsidR="00442F1C" w:rsidRDefault="00442F1C">
            <w:pPr>
              <w:pStyle w:val="Footer"/>
              <w:jc w:val="center"/>
            </w:pPr>
            <w:r>
              <w:t xml:space="preserve">Page </w:t>
            </w:r>
            <w:r>
              <w:rPr>
                <w:b/>
                <w:bCs/>
              </w:rPr>
              <w:fldChar w:fldCharType="begin"/>
            </w:r>
            <w:r>
              <w:rPr>
                <w:b/>
                <w:bCs/>
              </w:rPr>
              <w:instrText xml:space="preserve"> PAGE </w:instrText>
            </w:r>
            <w:r>
              <w:rPr>
                <w:b/>
                <w:bCs/>
              </w:rPr>
              <w:fldChar w:fldCharType="separate"/>
            </w:r>
            <w:r w:rsidR="006D12D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D12D8">
              <w:rPr>
                <w:b/>
                <w:bCs/>
                <w:noProof/>
              </w:rPr>
              <w:t>34</w:t>
            </w:r>
            <w:r>
              <w:rPr>
                <w:b/>
                <w:bCs/>
              </w:rPr>
              <w:fldChar w:fldCharType="end"/>
            </w:r>
          </w:p>
        </w:sdtContent>
      </w:sdt>
    </w:sdtContent>
  </w:sdt>
  <w:p w:rsidR="00442F1C" w:rsidRDefault="00442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F82" w:rsidRDefault="00F46F82">
      <w:pPr>
        <w:spacing w:after="0" w:line="240" w:lineRule="auto"/>
      </w:pPr>
      <w:r>
        <w:separator/>
      </w:r>
    </w:p>
  </w:footnote>
  <w:footnote w:type="continuationSeparator" w:id="0">
    <w:p w:rsidR="00F46F82" w:rsidRDefault="00F46F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AE5"/>
    <w:multiLevelType w:val="multilevel"/>
    <w:tmpl w:val="88F0EB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D73702"/>
    <w:multiLevelType w:val="hybridMultilevel"/>
    <w:tmpl w:val="6650A7B0"/>
    <w:lvl w:ilvl="0" w:tplc="8F5E94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90AB5"/>
    <w:multiLevelType w:val="hybridMultilevel"/>
    <w:tmpl w:val="C1D2190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3B61258"/>
    <w:multiLevelType w:val="multilevel"/>
    <w:tmpl w:val="E384B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E049CA"/>
    <w:multiLevelType w:val="hybridMultilevel"/>
    <w:tmpl w:val="2F8EA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CE4865"/>
    <w:multiLevelType w:val="hybridMultilevel"/>
    <w:tmpl w:val="6F12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C68FF"/>
    <w:multiLevelType w:val="hybridMultilevel"/>
    <w:tmpl w:val="C0089B4C"/>
    <w:lvl w:ilvl="0" w:tplc="51A6DF56">
      <w:numFmt w:val="bullet"/>
      <w:lvlText w:val="-"/>
      <w:lvlJc w:val="left"/>
      <w:pPr>
        <w:ind w:left="765" w:hanging="360"/>
      </w:pPr>
      <w:rPr>
        <w:rFonts w:ascii="Calibri" w:eastAsiaTheme="minorHAnsi" w:hAnsi="Calibri" w:cstheme="minorBidi"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 w15:restartNumberingAfterBreak="0">
    <w:nsid w:val="12A753DD"/>
    <w:multiLevelType w:val="hybridMultilevel"/>
    <w:tmpl w:val="2604B2F8"/>
    <w:lvl w:ilvl="0" w:tplc="8F5E94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D5F31"/>
    <w:multiLevelType w:val="multilevel"/>
    <w:tmpl w:val="484E38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D5B3E44"/>
    <w:multiLevelType w:val="hybridMultilevel"/>
    <w:tmpl w:val="816442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8C4895"/>
    <w:multiLevelType w:val="hybridMultilevel"/>
    <w:tmpl w:val="9F225132"/>
    <w:lvl w:ilvl="0" w:tplc="51A6DF56">
      <w:numFmt w:val="bullet"/>
      <w:lvlText w:val="-"/>
      <w:lvlJc w:val="left"/>
      <w:pPr>
        <w:ind w:left="765"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B5295C"/>
    <w:multiLevelType w:val="hybridMultilevel"/>
    <w:tmpl w:val="566A9768"/>
    <w:lvl w:ilvl="0" w:tplc="8F5E94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424B61"/>
    <w:multiLevelType w:val="hybridMultilevel"/>
    <w:tmpl w:val="0B623446"/>
    <w:lvl w:ilvl="0" w:tplc="51A6DF5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8902BB8"/>
    <w:multiLevelType w:val="hybridMultilevel"/>
    <w:tmpl w:val="D81A0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85FE3"/>
    <w:multiLevelType w:val="multilevel"/>
    <w:tmpl w:val="9EC0D3E8"/>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0F1607"/>
    <w:multiLevelType w:val="hybridMultilevel"/>
    <w:tmpl w:val="79729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B623D"/>
    <w:multiLevelType w:val="hybridMultilevel"/>
    <w:tmpl w:val="FC90D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31D03D8"/>
    <w:multiLevelType w:val="hybridMultilevel"/>
    <w:tmpl w:val="6CBAB3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550BE"/>
    <w:multiLevelType w:val="hybridMultilevel"/>
    <w:tmpl w:val="967EF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C44679"/>
    <w:multiLevelType w:val="hybridMultilevel"/>
    <w:tmpl w:val="E28C9040"/>
    <w:lvl w:ilvl="0" w:tplc="D2882C0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4A013A79"/>
    <w:multiLevelType w:val="hybridMultilevel"/>
    <w:tmpl w:val="881C36E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D47C57"/>
    <w:multiLevelType w:val="hybridMultilevel"/>
    <w:tmpl w:val="BDC6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242C14"/>
    <w:multiLevelType w:val="multilevel"/>
    <w:tmpl w:val="938AC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6134C7"/>
    <w:multiLevelType w:val="hybridMultilevel"/>
    <w:tmpl w:val="FC760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C0BDA"/>
    <w:multiLevelType w:val="hybridMultilevel"/>
    <w:tmpl w:val="670EF05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B5319D"/>
    <w:multiLevelType w:val="hybridMultilevel"/>
    <w:tmpl w:val="28103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2F06076"/>
    <w:multiLevelType w:val="hybridMultilevel"/>
    <w:tmpl w:val="A3A2F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B455E7"/>
    <w:multiLevelType w:val="hybridMultilevel"/>
    <w:tmpl w:val="7C9E2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347577"/>
    <w:multiLevelType w:val="hybridMultilevel"/>
    <w:tmpl w:val="6CCAE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E76326"/>
    <w:multiLevelType w:val="hybridMultilevel"/>
    <w:tmpl w:val="D690E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B003AD1"/>
    <w:multiLevelType w:val="hybridMultilevel"/>
    <w:tmpl w:val="6876D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4C0985"/>
    <w:multiLevelType w:val="hybridMultilevel"/>
    <w:tmpl w:val="BA747402"/>
    <w:lvl w:ilvl="0" w:tplc="51A6DF56">
      <w:numFmt w:val="bullet"/>
      <w:lvlText w:val="-"/>
      <w:lvlJc w:val="left"/>
      <w:pPr>
        <w:ind w:left="765"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1157C91"/>
    <w:multiLevelType w:val="hybridMultilevel"/>
    <w:tmpl w:val="33709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AA41A3"/>
    <w:multiLevelType w:val="hybridMultilevel"/>
    <w:tmpl w:val="ADD2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1470CB"/>
    <w:multiLevelType w:val="multilevel"/>
    <w:tmpl w:val="A232FAFE"/>
    <w:lvl w:ilvl="0">
      <w:start w:val="1"/>
      <w:numFmt w:val="decimal"/>
      <w:lvlText w:val="%1."/>
      <w:lvlJc w:val="left"/>
      <w:pPr>
        <w:ind w:left="360" w:hanging="360"/>
      </w:pPr>
      <w:rPr>
        <w:rFonts w:ascii="Arial" w:eastAsia="Times New Roman"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304294"/>
    <w:multiLevelType w:val="hybridMultilevel"/>
    <w:tmpl w:val="D170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E7BC0"/>
    <w:multiLevelType w:val="multilevel"/>
    <w:tmpl w:val="A232FAFE"/>
    <w:lvl w:ilvl="0">
      <w:start w:val="1"/>
      <w:numFmt w:val="decimal"/>
      <w:lvlText w:val="%1."/>
      <w:lvlJc w:val="left"/>
      <w:pPr>
        <w:ind w:left="360" w:hanging="360"/>
      </w:pPr>
      <w:rPr>
        <w:rFonts w:ascii="Arial" w:eastAsia="Times New Roman"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14"/>
  </w:num>
  <w:num w:numId="3">
    <w:abstractNumId w:val="21"/>
  </w:num>
  <w:num w:numId="4">
    <w:abstractNumId w:val="5"/>
  </w:num>
  <w:num w:numId="5">
    <w:abstractNumId w:val="9"/>
  </w:num>
  <w:num w:numId="6">
    <w:abstractNumId w:val="20"/>
  </w:num>
  <w:num w:numId="7">
    <w:abstractNumId w:val="24"/>
  </w:num>
  <w:num w:numId="8">
    <w:abstractNumId w:val="15"/>
  </w:num>
  <w:num w:numId="9">
    <w:abstractNumId w:val="29"/>
  </w:num>
  <w:num w:numId="10">
    <w:abstractNumId w:val="19"/>
  </w:num>
  <w:num w:numId="11">
    <w:abstractNumId w:val="1"/>
  </w:num>
  <w:num w:numId="12">
    <w:abstractNumId w:val="7"/>
  </w:num>
  <w:num w:numId="13">
    <w:abstractNumId w:val="11"/>
  </w:num>
  <w:num w:numId="14">
    <w:abstractNumId w:val="2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3"/>
  </w:num>
  <w:num w:numId="20">
    <w:abstractNumId w:val="26"/>
  </w:num>
  <w:num w:numId="21">
    <w:abstractNumId w:val="18"/>
  </w:num>
  <w:num w:numId="22">
    <w:abstractNumId w:val="27"/>
  </w:num>
  <w:num w:numId="23">
    <w:abstractNumId w:val="35"/>
  </w:num>
  <w:num w:numId="24">
    <w:abstractNumId w:val="4"/>
  </w:num>
  <w:num w:numId="25">
    <w:abstractNumId w:val="33"/>
  </w:num>
  <w:num w:numId="26">
    <w:abstractNumId w:val="17"/>
  </w:num>
  <w:num w:numId="27">
    <w:abstractNumId w:val="32"/>
  </w:num>
  <w:num w:numId="28">
    <w:abstractNumId w:val="30"/>
  </w:num>
  <w:num w:numId="29">
    <w:abstractNumId w:val="36"/>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num>
  <w:num w:numId="33">
    <w:abstractNumId w:val="31"/>
  </w:num>
  <w:num w:numId="34">
    <w:abstractNumId w:val="10"/>
  </w:num>
  <w:num w:numId="35">
    <w:abstractNumId w:val="25"/>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gwYVzAQGawgTsiOpjOZDmNlHGU4g29CILuSku0SntSHfLPL1d+n9RPfOiKgNtOfBh1AnhKaNeFPGlIJsM9bg/A==" w:salt="4vQwbcpAljVmiCAFMbRfd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6AE"/>
    <w:rsid w:val="000137B2"/>
    <w:rsid w:val="00037514"/>
    <w:rsid w:val="00043111"/>
    <w:rsid w:val="00055195"/>
    <w:rsid w:val="00057F8C"/>
    <w:rsid w:val="000664AD"/>
    <w:rsid w:val="0006737C"/>
    <w:rsid w:val="00070865"/>
    <w:rsid w:val="0007481C"/>
    <w:rsid w:val="00077D60"/>
    <w:rsid w:val="0008476B"/>
    <w:rsid w:val="00086EB1"/>
    <w:rsid w:val="000917B7"/>
    <w:rsid w:val="00093765"/>
    <w:rsid w:val="000A4F80"/>
    <w:rsid w:val="000B0F16"/>
    <w:rsid w:val="000B42FA"/>
    <w:rsid w:val="000C123A"/>
    <w:rsid w:val="000C218D"/>
    <w:rsid w:val="000C5A30"/>
    <w:rsid w:val="000E0AB4"/>
    <w:rsid w:val="000F055D"/>
    <w:rsid w:val="000F0E94"/>
    <w:rsid w:val="000F0EA8"/>
    <w:rsid w:val="00106CE0"/>
    <w:rsid w:val="00107C13"/>
    <w:rsid w:val="001109F8"/>
    <w:rsid w:val="00111739"/>
    <w:rsid w:val="00111A50"/>
    <w:rsid w:val="0011690B"/>
    <w:rsid w:val="00134A8C"/>
    <w:rsid w:val="00134ABE"/>
    <w:rsid w:val="00147698"/>
    <w:rsid w:val="001518FD"/>
    <w:rsid w:val="00152B53"/>
    <w:rsid w:val="00161840"/>
    <w:rsid w:val="00177735"/>
    <w:rsid w:val="00190F9D"/>
    <w:rsid w:val="0019239F"/>
    <w:rsid w:val="001B018B"/>
    <w:rsid w:val="001B7071"/>
    <w:rsid w:val="001D6A54"/>
    <w:rsid w:val="001E1C98"/>
    <w:rsid w:val="001F6A63"/>
    <w:rsid w:val="002132C1"/>
    <w:rsid w:val="00214F66"/>
    <w:rsid w:val="002206D3"/>
    <w:rsid w:val="002217C2"/>
    <w:rsid w:val="00222A83"/>
    <w:rsid w:val="00226393"/>
    <w:rsid w:val="00231BD0"/>
    <w:rsid w:val="00235379"/>
    <w:rsid w:val="0024071F"/>
    <w:rsid w:val="00245F00"/>
    <w:rsid w:val="00246937"/>
    <w:rsid w:val="00252443"/>
    <w:rsid w:val="00254473"/>
    <w:rsid w:val="00261BFE"/>
    <w:rsid w:val="002628FE"/>
    <w:rsid w:val="00263463"/>
    <w:rsid w:val="00275038"/>
    <w:rsid w:val="002818F2"/>
    <w:rsid w:val="00284A99"/>
    <w:rsid w:val="00293DAA"/>
    <w:rsid w:val="00296CCE"/>
    <w:rsid w:val="002A498D"/>
    <w:rsid w:val="002B1954"/>
    <w:rsid w:val="002C0738"/>
    <w:rsid w:val="002E7E50"/>
    <w:rsid w:val="003124D1"/>
    <w:rsid w:val="00321AB5"/>
    <w:rsid w:val="00340165"/>
    <w:rsid w:val="003507F5"/>
    <w:rsid w:val="00353094"/>
    <w:rsid w:val="00373704"/>
    <w:rsid w:val="00375BD9"/>
    <w:rsid w:val="0037616A"/>
    <w:rsid w:val="003837DB"/>
    <w:rsid w:val="003844DA"/>
    <w:rsid w:val="0039168E"/>
    <w:rsid w:val="00392A1D"/>
    <w:rsid w:val="00392CE0"/>
    <w:rsid w:val="00393DA7"/>
    <w:rsid w:val="003A38A5"/>
    <w:rsid w:val="003A544B"/>
    <w:rsid w:val="003B0AEC"/>
    <w:rsid w:val="003B79D2"/>
    <w:rsid w:val="003C2885"/>
    <w:rsid w:val="003C5722"/>
    <w:rsid w:val="003C73DB"/>
    <w:rsid w:val="003D4C0E"/>
    <w:rsid w:val="003E3A04"/>
    <w:rsid w:val="003F02D1"/>
    <w:rsid w:val="00406653"/>
    <w:rsid w:val="004106ED"/>
    <w:rsid w:val="004135EF"/>
    <w:rsid w:val="0042236A"/>
    <w:rsid w:val="00433AF6"/>
    <w:rsid w:val="00436D91"/>
    <w:rsid w:val="00442F1C"/>
    <w:rsid w:val="00446091"/>
    <w:rsid w:val="00456F77"/>
    <w:rsid w:val="0046041F"/>
    <w:rsid w:val="004701F1"/>
    <w:rsid w:val="004733C3"/>
    <w:rsid w:val="004819E3"/>
    <w:rsid w:val="00485DA2"/>
    <w:rsid w:val="00487C8F"/>
    <w:rsid w:val="00491F09"/>
    <w:rsid w:val="00492953"/>
    <w:rsid w:val="00493B04"/>
    <w:rsid w:val="004A016D"/>
    <w:rsid w:val="004A482B"/>
    <w:rsid w:val="004B27E3"/>
    <w:rsid w:val="004C04F4"/>
    <w:rsid w:val="004C447E"/>
    <w:rsid w:val="004C62CB"/>
    <w:rsid w:val="004D50BB"/>
    <w:rsid w:val="004E59BE"/>
    <w:rsid w:val="004F044C"/>
    <w:rsid w:val="004F0644"/>
    <w:rsid w:val="004F2D30"/>
    <w:rsid w:val="004F32C6"/>
    <w:rsid w:val="004F3C53"/>
    <w:rsid w:val="0050010D"/>
    <w:rsid w:val="0051162C"/>
    <w:rsid w:val="005141F0"/>
    <w:rsid w:val="00524479"/>
    <w:rsid w:val="00527ED8"/>
    <w:rsid w:val="00544D6D"/>
    <w:rsid w:val="00556EE1"/>
    <w:rsid w:val="00584687"/>
    <w:rsid w:val="00586C98"/>
    <w:rsid w:val="00596B2D"/>
    <w:rsid w:val="005A445C"/>
    <w:rsid w:val="005B067B"/>
    <w:rsid w:val="005C071B"/>
    <w:rsid w:val="005C64AC"/>
    <w:rsid w:val="005E6887"/>
    <w:rsid w:val="005F15C9"/>
    <w:rsid w:val="00613972"/>
    <w:rsid w:val="006234E1"/>
    <w:rsid w:val="00632E58"/>
    <w:rsid w:val="0064096C"/>
    <w:rsid w:val="00640E32"/>
    <w:rsid w:val="00651B45"/>
    <w:rsid w:val="00663C74"/>
    <w:rsid w:val="00666D9E"/>
    <w:rsid w:val="00667B2F"/>
    <w:rsid w:val="006704E7"/>
    <w:rsid w:val="00672DAF"/>
    <w:rsid w:val="00677290"/>
    <w:rsid w:val="00680FFC"/>
    <w:rsid w:val="00695E65"/>
    <w:rsid w:val="006B1062"/>
    <w:rsid w:val="006B20B1"/>
    <w:rsid w:val="006B6278"/>
    <w:rsid w:val="006C0879"/>
    <w:rsid w:val="006D12D8"/>
    <w:rsid w:val="006D171F"/>
    <w:rsid w:val="006D3770"/>
    <w:rsid w:val="006E5E35"/>
    <w:rsid w:val="00700CF7"/>
    <w:rsid w:val="00706E0B"/>
    <w:rsid w:val="007326A8"/>
    <w:rsid w:val="00741896"/>
    <w:rsid w:val="0074667B"/>
    <w:rsid w:val="00756BAE"/>
    <w:rsid w:val="00771AA0"/>
    <w:rsid w:val="007830C4"/>
    <w:rsid w:val="0079042B"/>
    <w:rsid w:val="007A0823"/>
    <w:rsid w:val="007A39F4"/>
    <w:rsid w:val="007B029C"/>
    <w:rsid w:val="007B1AC0"/>
    <w:rsid w:val="007B24AF"/>
    <w:rsid w:val="007D2AA3"/>
    <w:rsid w:val="007D3C72"/>
    <w:rsid w:val="007E4CDC"/>
    <w:rsid w:val="007F0A7B"/>
    <w:rsid w:val="007F1C6F"/>
    <w:rsid w:val="007F6507"/>
    <w:rsid w:val="008065AC"/>
    <w:rsid w:val="008167A5"/>
    <w:rsid w:val="008234A6"/>
    <w:rsid w:val="008240A1"/>
    <w:rsid w:val="008261F2"/>
    <w:rsid w:val="00845711"/>
    <w:rsid w:val="008568A5"/>
    <w:rsid w:val="00864C9A"/>
    <w:rsid w:val="008721C1"/>
    <w:rsid w:val="00872DB7"/>
    <w:rsid w:val="00873690"/>
    <w:rsid w:val="008A2DF7"/>
    <w:rsid w:val="008A3A69"/>
    <w:rsid w:val="008B076C"/>
    <w:rsid w:val="008B07B6"/>
    <w:rsid w:val="008B25A7"/>
    <w:rsid w:val="008B3E17"/>
    <w:rsid w:val="008C4C87"/>
    <w:rsid w:val="008C5BAE"/>
    <w:rsid w:val="008C6A10"/>
    <w:rsid w:val="008D22DC"/>
    <w:rsid w:val="008D2591"/>
    <w:rsid w:val="008F434B"/>
    <w:rsid w:val="008F720E"/>
    <w:rsid w:val="0090021D"/>
    <w:rsid w:val="00901E12"/>
    <w:rsid w:val="00905866"/>
    <w:rsid w:val="00911A78"/>
    <w:rsid w:val="00921A18"/>
    <w:rsid w:val="00925C39"/>
    <w:rsid w:val="00937B81"/>
    <w:rsid w:val="00940B7C"/>
    <w:rsid w:val="00962EBD"/>
    <w:rsid w:val="009648C2"/>
    <w:rsid w:val="00964B2F"/>
    <w:rsid w:val="00965E92"/>
    <w:rsid w:val="00977831"/>
    <w:rsid w:val="0099183A"/>
    <w:rsid w:val="00996E0A"/>
    <w:rsid w:val="009A0C19"/>
    <w:rsid w:val="009A10D5"/>
    <w:rsid w:val="009A3412"/>
    <w:rsid w:val="009B3196"/>
    <w:rsid w:val="009B3912"/>
    <w:rsid w:val="009B5CF6"/>
    <w:rsid w:val="009C03DA"/>
    <w:rsid w:val="009D537F"/>
    <w:rsid w:val="009D7E4F"/>
    <w:rsid w:val="009E4D83"/>
    <w:rsid w:val="009F1246"/>
    <w:rsid w:val="009F5F66"/>
    <w:rsid w:val="009F738D"/>
    <w:rsid w:val="00A16B2D"/>
    <w:rsid w:val="00A31D48"/>
    <w:rsid w:val="00A33D12"/>
    <w:rsid w:val="00A36A2B"/>
    <w:rsid w:val="00A404CF"/>
    <w:rsid w:val="00A50E8C"/>
    <w:rsid w:val="00A52931"/>
    <w:rsid w:val="00A538E3"/>
    <w:rsid w:val="00A5478A"/>
    <w:rsid w:val="00A56A05"/>
    <w:rsid w:val="00A70950"/>
    <w:rsid w:val="00A8334F"/>
    <w:rsid w:val="00A86767"/>
    <w:rsid w:val="00A918EB"/>
    <w:rsid w:val="00A95402"/>
    <w:rsid w:val="00A977CB"/>
    <w:rsid w:val="00AA5B41"/>
    <w:rsid w:val="00AD6CAC"/>
    <w:rsid w:val="00AE53AE"/>
    <w:rsid w:val="00AF4653"/>
    <w:rsid w:val="00B00084"/>
    <w:rsid w:val="00B05FD8"/>
    <w:rsid w:val="00B12574"/>
    <w:rsid w:val="00B17EC7"/>
    <w:rsid w:val="00B2303A"/>
    <w:rsid w:val="00B271C2"/>
    <w:rsid w:val="00B44108"/>
    <w:rsid w:val="00B50E64"/>
    <w:rsid w:val="00B55B74"/>
    <w:rsid w:val="00B65D13"/>
    <w:rsid w:val="00B66A10"/>
    <w:rsid w:val="00B70FDC"/>
    <w:rsid w:val="00B733EA"/>
    <w:rsid w:val="00B7787F"/>
    <w:rsid w:val="00B85E06"/>
    <w:rsid w:val="00B9206F"/>
    <w:rsid w:val="00BA0BC1"/>
    <w:rsid w:val="00BA2E4C"/>
    <w:rsid w:val="00BA2FBD"/>
    <w:rsid w:val="00BA449E"/>
    <w:rsid w:val="00BB5036"/>
    <w:rsid w:val="00BB56AE"/>
    <w:rsid w:val="00BC02F9"/>
    <w:rsid w:val="00BC2F3A"/>
    <w:rsid w:val="00BD4EBF"/>
    <w:rsid w:val="00BE0165"/>
    <w:rsid w:val="00BE11F7"/>
    <w:rsid w:val="00BE499E"/>
    <w:rsid w:val="00BE68AB"/>
    <w:rsid w:val="00BE68D4"/>
    <w:rsid w:val="00C306CE"/>
    <w:rsid w:val="00C3430F"/>
    <w:rsid w:val="00C6043D"/>
    <w:rsid w:val="00C626BE"/>
    <w:rsid w:val="00C631B5"/>
    <w:rsid w:val="00C722E1"/>
    <w:rsid w:val="00C7654D"/>
    <w:rsid w:val="00C96DCF"/>
    <w:rsid w:val="00CA090A"/>
    <w:rsid w:val="00CB0572"/>
    <w:rsid w:val="00CB4EE6"/>
    <w:rsid w:val="00CB7E16"/>
    <w:rsid w:val="00CC4813"/>
    <w:rsid w:val="00CE1E8D"/>
    <w:rsid w:val="00CE2617"/>
    <w:rsid w:val="00CE5E32"/>
    <w:rsid w:val="00CF04E9"/>
    <w:rsid w:val="00CF7612"/>
    <w:rsid w:val="00D05547"/>
    <w:rsid w:val="00D13849"/>
    <w:rsid w:val="00D14AD4"/>
    <w:rsid w:val="00D23774"/>
    <w:rsid w:val="00D24BED"/>
    <w:rsid w:val="00D34E4A"/>
    <w:rsid w:val="00D373A6"/>
    <w:rsid w:val="00D64897"/>
    <w:rsid w:val="00D751CD"/>
    <w:rsid w:val="00D82790"/>
    <w:rsid w:val="00D827F2"/>
    <w:rsid w:val="00D97283"/>
    <w:rsid w:val="00DA4116"/>
    <w:rsid w:val="00DA7799"/>
    <w:rsid w:val="00DB1572"/>
    <w:rsid w:val="00DB4E58"/>
    <w:rsid w:val="00DB5DE6"/>
    <w:rsid w:val="00DB7B17"/>
    <w:rsid w:val="00DC0459"/>
    <w:rsid w:val="00DC528E"/>
    <w:rsid w:val="00DF2F7F"/>
    <w:rsid w:val="00DF4D98"/>
    <w:rsid w:val="00DF5F7E"/>
    <w:rsid w:val="00E1030D"/>
    <w:rsid w:val="00E15FFC"/>
    <w:rsid w:val="00E529E9"/>
    <w:rsid w:val="00E574C6"/>
    <w:rsid w:val="00E674CA"/>
    <w:rsid w:val="00EA13F0"/>
    <w:rsid w:val="00EB16AA"/>
    <w:rsid w:val="00EB2A18"/>
    <w:rsid w:val="00EC5EDA"/>
    <w:rsid w:val="00ED7E04"/>
    <w:rsid w:val="00EE0347"/>
    <w:rsid w:val="00EE72FB"/>
    <w:rsid w:val="00F03427"/>
    <w:rsid w:val="00F13ACD"/>
    <w:rsid w:val="00F3445C"/>
    <w:rsid w:val="00F34D42"/>
    <w:rsid w:val="00F37E64"/>
    <w:rsid w:val="00F44714"/>
    <w:rsid w:val="00F46F82"/>
    <w:rsid w:val="00F51EFC"/>
    <w:rsid w:val="00F739D6"/>
    <w:rsid w:val="00F845DA"/>
    <w:rsid w:val="00F93E0B"/>
    <w:rsid w:val="00FA5A9F"/>
    <w:rsid w:val="00FB7267"/>
    <w:rsid w:val="00FB7E12"/>
    <w:rsid w:val="00FD014C"/>
    <w:rsid w:val="00FD1BDF"/>
    <w:rsid w:val="00FE7927"/>
    <w:rsid w:val="00FF3F0D"/>
    <w:rsid w:val="00FF6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610FBF5-FCB9-4F9A-83D8-3FD89AEB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7C8F"/>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487C8F"/>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link w:val="Heading3Char"/>
    <w:uiPriority w:val="9"/>
    <w:qFormat/>
    <w:rsid w:val="00487C8F"/>
    <w:pPr>
      <w:keepNext/>
      <w:keepLines/>
      <w:spacing w:before="200" w:after="0" w:line="240" w:lineRule="auto"/>
      <w:outlineLvl w:val="2"/>
    </w:pPr>
    <w:rPr>
      <w:rFonts w:ascii="Calibri" w:eastAsia="MS Gothic" w:hAnsi="Calibri" w:cs="Times New Roman"/>
      <w:b/>
      <w:bCs/>
      <w:color w:val="4F81BD"/>
      <w:sz w:val="24"/>
      <w:szCs w:val="24"/>
    </w:rPr>
  </w:style>
  <w:style w:type="paragraph" w:styleId="Heading4">
    <w:name w:val="heading 4"/>
    <w:basedOn w:val="Normal"/>
    <w:next w:val="Normal"/>
    <w:link w:val="Heading4Char"/>
    <w:uiPriority w:val="9"/>
    <w:qFormat/>
    <w:rsid w:val="00487C8F"/>
    <w:pPr>
      <w:keepNext/>
      <w:keepLines/>
      <w:spacing w:before="200" w:after="0" w:line="240" w:lineRule="auto"/>
      <w:outlineLvl w:val="3"/>
    </w:pPr>
    <w:rPr>
      <w:rFonts w:ascii="Calibri" w:eastAsia="MS Gothic" w:hAnsi="Calibri" w:cs="Times New Roman"/>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5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6AE"/>
  </w:style>
  <w:style w:type="character" w:customStyle="1" w:styleId="Heading1Char">
    <w:name w:val="Heading 1 Char"/>
    <w:basedOn w:val="DefaultParagraphFont"/>
    <w:link w:val="Heading1"/>
    <w:uiPriority w:val="9"/>
    <w:rsid w:val="00487C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87C8F"/>
    <w:rPr>
      <w:rFonts w:ascii="Times New Roman" w:eastAsia="Times New Roman" w:hAnsi="Times New Roman" w:cs="Times New Roman"/>
      <w:b/>
      <w:bCs/>
      <w:color w:val="000000"/>
      <w:sz w:val="36"/>
      <w:szCs w:val="36"/>
    </w:rPr>
  </w:style>
  <w:style w:type="character" w:customStyle="1" w:styleId="Heading3Char">
    <w:name w:val="Heading 3 Char"/>
    <w:basedOn w:val="DefaultParagraphFont"/>
    <w:link w:val="Heading3"/>
    <w:uiPriority w:val="9"/>
    <w:rsid w:val="00487C8F"/>
    <w:rPr>
      <w:rFonts w:ascii="Calibri" w:eastAsia="MS Gothic" w:hAnsi="Calibri" w:cs="Times New Roman"/>
      <w:b/>
      <w:bCs/>
      <w:color w:val="4F81BD"/>
      <w:sz w:val="24"/>
      <w:szCs w:val="24"/>
    </w:rPr>
  </w:style>
  <w:style w:type="character" w:customStyle="1" w:styleId="Heading4Char">
    <w:name w:val="Heading 4 Char"/>
    <w:basedOn w:val="DefaultParagraphFont"/>
    <w:link w:val="Heading4"/>
    <w:uiPriority w:val="9"/>
    <w:rsid w:val="00487C8F"/>
    <w:rPr>
      <w:rFonts w:ascii="Calibri" w:eastAsia="MS Gothic" w:hAnsi="Calibri" w:cs="Times New Roman"/>
      <w:b/>
      <w:bCs/>
      <w:i/>
      <w:iCs/>
      <w:color w:val="4F81BD"/>
      <w:sz w:val="24"/>
      <w:szCs w:val="24"/>
    </w:rPr>
  </w:style>
  <w:style w:type="character" w:styleId="Emphasis">
    <w:name w:val="Emphasis"/>
    <w:qFormat/>
    <w:rsid w:val="00487C8F"/>
    <w:rPr>
      <w:i/>
      <w:iCs/>
    </w:rPr>
  </w:style>
  <w:style w:type="paragraph" w:styleId="NormalWeb">
    <w:name w:val="Normal (Web)"/>
    <w:basedOn w:val="Normal"/>
    <w:uiPriority w:val="99"/>
    <w:rsid w:val="00487C8F"/>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qFormat/>
    <w:rsid w:val="00487C8F"/>
    <w:rPr>
      <w:b/>
      <w:bCs/>
    </w:rPr>
  </w:style>
  <w:style w:type="paragraph" w:styleId="Footer">
    <w:name w:val="footer"/>
    <w:basedOn w:val="Normal"/>
    <w:link w:val="FooterChar"/>
    <w:uiPriority w:val="99"/>
    <w:rsid w:val="00487C8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87C8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487C8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87C8F"/>
    <w:rPr>
      <w:rFonts w:ascii="Tahoma" w:eastAsia="Times New Roman" w:hAnsi="Tahoma" w:cs="Tahoma"/>
      <w:sz w:val="16"/>
      <w:szCs w:val="16"/>
    </w:rPr>
  </w:style>
  <w:style w:type="paragraph" w:styleId="HTMLPreformatted">
    <w:name w:val="HTML Preformatted"/>
    <w:basedOn w:val="Normal"/>
    <w:link w:val="HTMLPreformattedChar"/>
    <w:rsid w:val="00487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487C8F"/>
    <w:rPr>
      <w:rFonts w:ascii="Courier New" w:eastAsia="Times New Roman" w:hAnsi="Courier New" w:cs="Courier New"/>
      <w:color w:val="000000"/>
      <w:sz w:val="20"/>
      <w:szCs w:val="20"/>
    </w:rPr>
  </w:style>
  <w:style w:type="paragraph" w:customStyle="1" w:styleId="MediumGrid21">
    <w:name w:val="Medium Grid 21"/>
    <w:uiPriority w:val="1"/>
    <w:qFormat/>
    <w:rsid w:val="00487C8F"/>
    <w:pPr>
      <w:spacing w:after="0" w:line="240" w:lineRule="auto"/>
    </w:pPr>
    <w:rPr>
      <w:rFonts w:ascii="Calibri" w:eastAsia="Calibri" w:hAnsi="Calibri" w:cs="Times New Roman"/>
    </w:rPr>
  </w:style>
  <w:style w:type="paragraph" w:customStyle="1" w:styleId="ColorfulList-Accent11">
    <w:name w:val="Colorful List - Accent 11"/>
    <w:basedOn w:val="Normal"/>
    <w:uiPriority w:val="34"/>
    <w:qFormat/>
    <w:rsid w:val="00487C8F"/>
    <w:pPr>
      <w:spacing w:after="0" w:line="240" w:lineRule="auto"/>
      <w:ind w:left="720"/>
      <w:contextualSpacing/>
    </w:pPr>
    <w:rPr>
      <w:rFonts w:ascii="Calibri" w:eastAsia="Times New Roman" w:hAnsi="Calibri" w:cs="Times New Roman"/>
      <w:sz w:val="24"/>
      <w:szCs w:val="24"/>
    </w:rPr>
  </w:style>
  <w:style w:type="paragraph" w:styleId="Title">
    <w:name w:val="Title"/>
    <w:basedOn w:val="Normal"/>
    <w:next w:val="Normal"/>
    <w:link w:val="TitleChar"/>
    <w:uiPriority w:val="10"/>
    <w:qFormat/>
    <w:rsid w:val="00487C8F"/>
    <w:pPr>
      <w:spacing w:before="240" w:after="60" w:line="240" w:lineRule="auto"/>
      <w:jc w:val="center"/>
      <w:outlineLvl w:val="0"/>
    </w:pPr>
    <w:rPr>
      <w:rFonts w:ascii="Calibri" w:eastAsia="MS Gothic" w:hAnsi="Calibri" w:cs="Times New Roman"/>
      <w:b/>
      <w:bCs/>
      <w:kern w:val="28"/>
      <w:sz w:val="32"/>
      <w:szCs w:val="32"/>
    </w:rPr>
  </w:style>
  <w:style w:type="character" w:customStyle="1" w:styleId="TitleChar">
    <w:name w:val="Title Char"/>
    <w:basedOn w:val="DefaultParagraphFont"/>
    <w:link w:val="Title"/>
    <w:uiPriority w:val="10"/>
    <w:rsid w:val="00487C8F"/>
    <w:rPr>
      <w:rFonts w:ascii="Calibri" w:eastAsia="MS Gothic" w:hAnsi="Calibri" w:cs="Times New Roman"/>
      <w:b/>
      <w:bCs/>
      <w:kern w:val="28"/>
      <w:sz w:val="32"/>
      <w:szCs w:val="32"/>
    </w:rPr>
  </w:style>
  <w:style w:type="table" w:styleId="TableGrid">
    <w:name w:val="Table Grid"/>
    <w:basedOn w:val="TableNormal"/>
    <w:uiPriority w:val="59"/>
    <w:rsid w:val="00487C8F"/>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487C8F"/>
    <w:rPr>
      <w:sz w:val="18"/>
      <w:szCs w:val="18"/>
    </w:rPr>
  </w:style>
  <w:style w:type="paragraph" w:styleId="CommentText">
    <w:name w:val="annotation text"/>
    <w:basedOn w:val="Normal"/>
    <w:link w:val="CommentTextChar"/>
    <w:uiPriority w:val="99"/>
    <w:unhideWhenUsed/>
    <w:rsid w:val="00487C8F"/>
    <w:pPr>
      <w:spacing w:after="0" w:line="240" w:lineRule="auto"/>
    </w:pPr>
    <w:rPr>
      <w:rFonts w:ascii="Cambria" w:eastAsia="MS Mincho" w:hAnsi="Cambria" w:cs="Times New Roman"/>
      <w:sz w:val="24"/>
      <w:szCs w:val="24"/>
    </w:rPr>
  </w:style>
  <w:style w:type="character" w:customStyle="1" w:styleId="CommentTextChar">
    <w:name w:val="Comment Text Char"/>
    <w:basedOn w:val="DefaultParagraphFont"/>
    <w:link w:val="CommentText"/>
    <w:uiPriority w:val="99"/>
    <w:rsid w:val="00487C8F"/>
    <w:rPr>
      <w:rFonts w:ascii="Cambria" w:eastAsia="MS Mincho" w:hAnsi="Cambria" w:cs="Times New Roman"/>
      <w:sz w:val="24"/>
      <w:szCs w:val="24"/>
    </w:rPr>
  </w:style>
  <w:style w:type="paragraph" w:styleId="CommentSubject">
    <w:name w:val="annotation subject"/>
    <w:basedOn w:val="CommentText"/>
    <w:next w:val="CommentText"/>
    <w:link w:val="CommentSubjectChar"/>
    <w:uiPriority w:val="99"/>
    <w:unhideWhenUsed/>
    <w:rsid w:val="00487C8F"/>
    <w:rPr>
      <w:b/>
      <w:bCs/>
      <w:sz w:val="20"/>
      <w:szCs w:val="20"/>
    </w:rPr>
  </w:style>
  <w:style w:type="character" w:customStyle="1" w:styleId="CommentSubjectChar">
    <w:name w:val="Comment Subject Char"/>
    <w:basedOn w:val="CommentTextChar"/>
    <w:link w:val="CommentSubject"/>
    <w:uiPriority w:val="99"/>
    <w:rsid w:val="00487C8F"/>
    <w:rPr>
      <w:rFonts w:ascii="Cambria" w:eastAsia="MS Mincho" w:hAnsi="Cambria" w:cs="Times New Roman"/>
      <w:b/>
      <w:bCs/>
      <w:sz w:val="20"/>
      <w:szCs w:val="20"/>
    </w:rPr>
  </w:style>
  <w:style w:type="paragraph" w:styleId="BodyText3">
    <w:name w:val="Body Text 3"/>
    <w:basedOn w:val="Normal"/>
    <w:link w:val="BodyText3Char"/>
    <w:rsid w:val="00487C8F"/>
    <w:pPr>
      <w:spacing w:after="0" w:line="240" w:lineRule="auto"/>
    </w:pPr>
    <w:rPr>
      <w:rFonts w:ascii="Verdana" w:eastAsia="Times New Roman" w:hAnsi="Verdana" w:cs="Times New Roman"/>
      <w:sz w:val="18"/>
      <w:szCs w:val="24"/>
    </w:rPr>
  </w:style>
  <w:style w:type="character" w:customStyle="1" w:styleId="BodyText3Char">
    <w:name w:val="Body Text 3 Char"/>
    <w:basedOn w:val="DefaultParagraphFont"/>
    <w:link w:val="BodyText3"/>
    <w:rsid w:val="00487C8F"/>
    <w:rPr>
      <w:rFonts w:ascii="Verdana" w:eastAsia="Times New Roman" w:hAnsi="Verdana" w:cs="Times New Roman"/>
      <w:sz w:val="18"/>
      <w:szCs w:val="24"/>
    </w:rPr>
  </w:style>
  <w:style w:type="paragraph" w:customStyle="1" w:styleId="ColorfulShading-Accent11">
    <w:name w:val="Colorful Shading - Accent 11"/>
    <w:hidden/>
    <w:uiPriority w:val="99"/>
    <w:semiHidden/>
    <w:rsid w:val="00487C8F"/>
    <w:pPr>
      <w:spacing w:after="0" w:line="240" w:lineRule="auto"/>
    </w:pPr>
    <w:rPr>
      <w:rFonts w:ascii="Cambria" w:eastAsia="MS Mincho" w:hAnsi="Cambria" w:cs="Times New Roman"/>
      <w:sz w:val="24"/>
      <w:szCs w:val="24"/>
    </w:rPr>
  </w:style>
  <w:style w:type="numbering" w:customStyle="1" w:styleId="NoList1">
    <w:name w:val="No List1"/>
    <w:next w:val="NoList"/>
    <w:uiPriority w:val="99"/>
    <w:semiHidden/>
    <w:unhideWhenUsed/>
    <w:rsid w:val="00487C8F"/>
  </w:style>
  <w:style w:type="table" w:customStyle="1" w:styleId="TableGrid1">
    <w:name w:val="Table Grid1"/>
    <w:basedOn w:val="TableNormal"/>
    <w:next w:val="TableGrid"/>
    <w:uiPriority w:val="59"/>
    <w:rsid w:val="00487C8F"/>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87C8F"/>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87C8F"/>
    <w:rPr>
      <w:color w:val="0000FF"/>
      <w:u w:val="single"/>
    </w:rPr>
  </w:style>
  <w:style w:type="paragraph" w:styleId="TOCHeading">
    <w:name w:val="TOC Heading"/>
    <w:basedOn w:val="Heading1"/>
    <w:next w:val="Normal"/>
    <w:uiPriority w:val="39"/>
    <w:semiHidden/>
    <w:unhideWhenUsed/>
    <w:qFormat/>
    <w:rsid w:val="00487C8F"/>
    <w:pPr>
      <w:keepLines/>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rsid w:val="00487C8F"/>
    <w:pPr>
      <w:spacing w:after="0" w:line="240" w:lineRule="auto"/>
      <w:ind w:left="240"/>
    </w:pPr>
    <w:rPr>
      <w:rFonts w:ascii="Times New Roman" w:eastAsia="Times New Roman" w:hAnsi="Times New Roman" w:cs="Times New Roman"/>
      <w:sz w:val="24"/>
      <w:szCs w:val="24"/>
    </w:rPr>
  </w:style>
  <w:style w:type="paragraph" w:styleId="TOC1">
    <w:name w:val="toc 1"/>
    <w:basedOn w:val="Normal"/>
    <w:next w:val="Normal"/>
    <w:autoRedefine/>
    <w:uiPriority w:val="39"/>
    <w:rsid w:val="00487C8F"/>
    <w:pPr>
      <w:spacing w:after="0" w:line="240" w:lineRule="auto"/>
    </w:pPr>
    <w:rPr>
      <w:rFonts w:ascii="Times New Roman" w:eastAsia="Times New Roman" w:hAnsi="Times New Roman" w:cs="Times New Roman"/>
      <w:sz w:val="24"/>
      <w:szCs w:val="24"/>
    </w:rPr>
  </w:style>
  <w:style w:type="paragraph" w:styleId="Revision">
    <w:name w:val="Revision"/>
    <w:hidden/>
    <w:uiPriority w:val="71"/>
    <w:rsid w:val="00487C8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C8F"/>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1518FD"/>
    <w:pPr>
      <w:spacing w:after="0" w:line="240" w:lineRule="auto"/>
    </w:pPr>
    <w:rPr>
      <w:rFonts w:eastAsiaTheme="minorEastAsia"/>
    </w:rPr>
  </w:style>
  <w:style w:type="character" w:customStyle="1" w:styleId="HeaderChar1">
    <w:name w:val="Header Char1"/>
    <w:basedOn w:val="DefaultParagraphFont"/>
    <w:uiPriority w:val="99"/>
    <w:semiHidden/>
    <w:rsid w:val="00B12574"/>
    <w:rPr>
      <w:rFonts w:eastAsiaTheme="minorHAnsi"/>
      <w:sz w:val="22"/>
      <w:szCs w:val="22"/>
    </w:rPr>
  </w:style>
  <w:style w:type="character" w:customStyle="1" w:styleId="BalloonTextChar1">
    <w:name w:val="Balloon Text Char1"/>
    <w:basedOn w:val="DefaultParagraphFont"/>
    <w:uiPriority w:val="99"/>
    <w:semiHidden/>
    <w:rsid w:val="00D373A6"/>
    <w:rPr>
      <w:rFonts w:ascii="Lucida Grande" w:eastAsiaTheme="minorHAnsi" w:hAnsi="Lucida Grande" w:cs="Lucida Grande"/>
      <w:sz w:val="18"/>
      <w:szCs w:val="18"/>
    </w:rPr>
  </w:style>
  <w:style w:type="character" w:customStyle="1" w:styleId="FooterChar1">
    <w:name w:val="Footer Char1"/>
    <w:basedOn w:val="DefaultParagraphFont"/>
    <w:uiPriority w:val="99"/>
    <w:semiHidden/>
    <w:rsid w:val="00D373A6"/>
    <w:rPr>
      <w:rFonts w:eastAsiaTheme="minorHAnsi"/>
      <w:sz w:val="22"/>
      <w:szCs w:val="22"/>
    </w:rPr>
  </w:style>
  <w:style w:type="paragraph" w:styleId="TOC3">
    <w:name w:val="toc 3"/>
    <w:basedOn w:val="Normal"/>
    <w:next w:val="Normal"/>
    <w:autoRedefine/>
    <w:uiPriority w:val="39"/>
    <w:unhideWhenUsed/>
    <w:rsid w:val="00D373A6"/>
    <w:pPr>
      <w:spacing w:after="0"/>
      <w:ind w:left="440"/>
    </w:pPr>
  </w:style>
  <w:style w:type="paragraph" w:styleId="TOC4">
    <w:name w:val="toc 4"/>
    <w:basedOn w:val="Normal"/>
    <w:next w:val="Normal"/>
    <w:autoRedefine/>
    <w:uiPriority w:val="39"/>
    <w:unhideWhenUsed/>
    <w:rsid w:val="00D373A6"/>
    <w:pPr>
      <w:spacing w:after="0"/>
      <w:ind w:left="660"/>
    </w:pPr>
    <w:rPr>
      <w:sz w:val="20"/>
      <w:szCs w:val="20"/>
    </w:rPr>
  </w:style>
  <w:style w:type="paragraph" w:styleId="TOC5">
    <w:name w:val="toc 5"/>
    <w:basedOn w:val="Normal"/>
    <w:next w:val="Normal"/>
    <w:autoRedefine/>
    <w:uiPriority w:val="39"/>
    <w:unhideWhenUsed/>
    <w:rsid w:val="00D373A6"/>
    <w:pPr>
      <w:spacing w:after="0"/>
      <w:ind w:left="880"/>
    </w:pPr>
    <w:rPr>
      <w:sz w:val="20"/>
      <w:szCs w:val="20"/>
    </w:rPr>
  </w:style>
  <w:style w:type="paragraph" w:styleId="TOC6">
    <w:name w:val="toc 6"/>
    <w:basedOn w:val="Normal"/>
    <w:next w:val="Normal"/>
    <w:autoRedefine/>
    <w:uiPriority w:val="39"/>
    <w:unhideWhenUsed/>
    <w:rsid w:val="00D373A6"/>
    <w:pPr>
      <w:spacing w:after="0"/>
      <w:ind w:left="1100"/>
    </w:pPr>
    <w:rPr>
      <w:sz w:val="20"/>
      <w:szCs w:val="20"/>
    </w:rPr>
  </w:style>
  <w:style w:type="paragraph" w:styleId="TOC7">
    <w:name w:val="toc 7"/>
    <w:basedOn w:val="Normal"/>
    <w:next w:val="Normal"/>
    <w:autoRedefine/>
    <w:uiPriority w:val="39"/>
    <w:unhideWhenUsed/>
    <w:rsid w:val="00D373A6"/>
    <w:pPr>
      <w:spacing w:after="0"/>
      <w:ind w:left="1320"/>
    </w:pPr>
    <w:rPr>
      <w:sz w:val="20"/>
      <w:szCs w:val="20"/>
    </w:rPr>
  </w:style>
  <w:style w:type="paragraph" w:styleId="TOC8">
    <w:name w:val="toc 8"/>
    <w:basedOn w:val="Normal"/>
    <w:next w:val="Normal"/>
    <w:autoRedefine/>
    <w:uiPriority w:val="39"/>
    <w:unhideWhenUsed/>
    <w:rsid w:val="00D373A6"/>
    <w:pPr>
      <w:spacing w:after="0"/>
      <w:ind w:left="1540"/>
    </w:pPr>
    <w:rPr>
      <w:sz w:val="20"/>
      <w:szCs w:val="20"/>
    </w:rPr>
  </w:style>
  <w:style w:type="paragraph" w:styleId="TOC9">
    <w:name w:val="toc 9"/>
    <w:basedOn w:val="Normal"/>
    <w:next w:val="Normal"/>
    <w:autoRedefine/>
    <w:uiPriority w:val="39"/>
    <w:unhideWhenUsed/>
    <w:rsid w:val="00D373A6"/>
    <w:pPr>
      <w:spacing w:after="0"/>
      <w:ind w:left="1760"/>
    </w:pPr>
    <w:rPr>
      <w:sz w:val="20"/>
      <w:szCs w:val="20"/>
    </w:rPr>
  </w:style>
  <w:style w:type="character" w:styleId="IntenseEmphasis">
    <w:name w:val="Intense Emphasis"/>
    <w:basedOn w:val="DefaultParagraphFont"/>
    <w:uiPriority w:val="21"/>
    <w:qFormat/>
    <w:rsid w:val="00D373A6"/>
    <w:rPr>
      <w:b/>
      <w:bCs/>
      <w:i/>
      <w:iCs/>
      <w:color w:val="4F81BD" w:themeColor="accent1"/>
    </w:rPr>
  </w:style>
  <w:style w:type="character" w:styleId="SubtleEmphasis">
    <w:name w:val="Subtle Emphasis"/>
    <w:basedOn w:val="DefaultParagraphFont"/>
    <w:uiPriority w:val="19"/>
    <w:qFormat/>
    <w:rsid w:val="00A16B2D"/>
    <w:rPr>
      <w:i/>
      <w:iCs/>
      <w:color w:val="808080" w:themeColor="text1" w:themeTint="7F"/>
    </w:rPr>
  </w:style>
  <w:style w:type="character" w:customStyle="1" w:styleId="apple-converted-space">
    <w:name w:val="apple-converted-space"/>
    <w:basedOn w:val="DefaultParagraphFont"/>
    <w:rsid w:val="00A16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329810">
      <w:bodyDiv w:val="1"/>
      <w:marLeft w:val="0"/>
      <w:marRight w:val="0"/>
      <w:marTop w:val="0"/>
      <w:marBottom w:val="0"/>
      <w:divBdr>
        <w:top w:val="none" w:sz="0" w:space="0" w:color="auto"/>
        <w:left w:val="none" w:sz="0" w:space="0" w:color="auto"/>
        <w:bottom w:val="none" w:sz="0" w:space="0" w:color="auto"/>
        <w:right w:val="none" w:sz="0" w:space="0" w:color="auto"/>
      </w:divBdr>
    </w:div>
    <w:div w:id="885337752">
      <w:bodyDiv w:val="1"/>
      <w:marLeft w:val="0"/>
      <w:marRight w:val="0"/>
      <w:marTop w:val="0"/>
      <w:marBottom w:val="0"/>
      <w:divBdr>
        <w:top w:val="none" w:sz="0" w:space="0" w:color="auto"/>
        <w:left w:val="none" w:sz="0" w:space="0" w:color="auto"/>
        <w:bottom w:val="none" w:sz="0" w:space="0" w:color="auto"/>
        <w:right w:val="none" w:sz="0" w:space="0" w:color="auto"/>
      </w:divBdr>
    </w:div>
    <w:div w:id="142036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8" Type="http://schemas.openxmlformats.org/officeDocument/2006/relationships/chart" Target="charts/chart1.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gioffrejc:Documents:Total%20workforce%20and%20managers.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2" Type="http://schemas.openxmlformats.org/officeDocument/2006/relationships/oleObject" Target="Chart%202%20in%20Microsoft%20Word"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Untitled:Users:gioffrejc:Desktop:Workforce%20Analysis-as%20of%201-6-15.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gioffrejc\Desktop\Desktop%20from%20Mac\Workforce%20Analysis-as%20of%202-12-1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gioffrejc\Desktop\Desktop%20from%20Mac\Workforce%20Analysis-as%20of%202-12-1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gioffrejc\Desktop\Desktop%20from%20Mac\Workforce%20Analysis-as%20of%202-12-1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gioffrejc\Desktop\Desktop%20from%20Mac\Workforce%20Analysis-as%20of%202-12-1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gioffrejc\Desktop\Desktop%20from%20Mac\Workforce%20Analysis-as%20of%202-12-1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gioffrejc\Desktop\Desktop%20from%20Mac\Workforce%20Analysis-as%20of%202-12-15.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37.xml.rels><?xml version="1.0" encoding="UTF-8" standalone="yes"?>
<Relationships xmlns="http://schemas.openxmlformats.org/package/2006/relationships"><Relationship Id="rId2" Type="http://schemas.openxmlformats.org/officeDocument/2006/relationships/oleObject" Target="Chart%20in%20Microsoft%20PowerPoint" TargetMode="External"/><Relationship Id="rId1" Type="http://schemas.openxmlformats.org/officeDocument/2006/relationships/themeOverride" Target="../theme/themeOverride8.xml"/></Relationships>
</file>

<file path=word/charts/_rels/chart38.xml.rels><?xml version="1.0" encoding="UTF-8" standalone="yes"?>
<Relationships xmlns="http://schemas.openxmlformats.org/package/2006/relationships"><Relationship Id="rId1" Type="http://schemas.openxmlformats.org/officeDocument/2006/relationships/oleObject" Target="file:///\\odapps3\IC%20Service\Staff%20Working%20Folders\Thomas,%20Re'Neesha\Data%20Analytics%20Assignments\Office%20of%20Intramural%20Research\Principal%20Investigator%20Workforce\October%202014\Data\Graph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odapps3\IC%20Service\Staff%20Working%20Folders\Thomas,%20Re'Neesha\Data%20Analytics%20Assignments\Office%20of%20Intramural%20Research\Principal%20Investigator%20Workforce\October%202014\Data\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oleObject" Target="file:///\\odapps3\IC%20Service\Staff%20Working%20Folders\Thomas,%20Re'Neesha\Data%20Analytics%20Assignments\Office%20of%20Intramural%20Research\Principal%20Investigator%20Workforce\October%202014\Data\Graph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odapps3\IC%20Service\Staff%20Working%20Folders\Thomas,%20Re'Neesha\Data%20Analytics%20Assignments\Office%20of%20Intramural%20Research\Principal%20Investigator%20Workforce\October%202014\Data\Graph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odapps3\IC%20Service\Staff%20Working%20Folders\Thomas,%20Re'Neesha\Data%20Analytics%20Assignments\Office%20of%20Intramural%20Research\Principal%20Investigator%20Workforce\October%202014\Data\Graph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odapps3\IC%20Service\Staff%20Working%20Folders\Thomas,%20Re'Neesha\Data%20Analytics%20Assignments\Office%20of%20Intramural%20Research\Principal%20Investigator%20Workforce\October%202014\Data\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Calibri"/>
                <a:ea typeface="Calibri"/>
                <a:cs typeface="Calibri"/>
              </a:defRPr>
            </a:pPr>
            <a:r>
              <a:rPr lang="en-US" sz="1000" b="1" i="0" u="none" strike="noStrike" baseline="0">
                <a:latin typeface="Calibri"/>
                <a:ea typeface="Calibri"/>
                <a:cs typeface="Calibri"/>
              </a:rPr>
              <a:t>All NIH Workforce by Sex as of 4thQ FY 2014</a:t>
            </a:r>
          </a:p>
          <a:p>
            <a:pPr>
              <a:defRPr sz="8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ea typeface="Calibri"/>
                <a:cs typeface="Calibri"/>
              </a:rPr>
              <a:t>(Excludes CC and EI Pay Plans)</a:t>
            </a:r>
          </a:p>
        </c:rich>
      </c:tx>
      <c:overlay val="0"/>
      <c:spPr>
        <a:noFill/>
        <a:ln w="25400">
          <a:noFill/>
        </a:ln>
      </c:spPr>
    </c:title>
    <c:autoTitleDeleted val="0"/>
    <c:plotArea>
      <c:layout/>
      <c:pieChart>
        <c:varyColors val="1"/>
        <c:ser>
          <c:idx val="0"/>
          <c:order val="0"/>
          <c:spPr>
            <a:solidFill>
              <a:srgbClr val="4F81BD"/>
            </a:solidFill>
            <a:ln w="25400">
              <a:noFill/>
            </a:ln>
          </c:spPr>
          <c:dPt>
            <c:idx val="0"/>
            <c:bubble3D val="0"/>
          </c:dPt>
          <c:dPt>
            <c:idx val="1"/>
            <c:bubble3D val="0"/>
            <c:spPr>
              <a:solidFill>
                <a:srgbClr val="C0504D"/>
              </a:solidFill>
              <a:ln w="25400">
                <a:noFill/>
              </a:ln>
            </c:spPr>
          </c:dPt>
          <c:dLbls>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'Overall Charts'!$C$11:$D$11</c:f>
              <c:strCache>
                <c:ptCount val="2"/>
                <c:pt idx="0">
                  <c:v>Male</c:v>
                </c:pt>
                <c:pt idx="1">
                  <c:v>Female</c:v>
                </c:pt>
              </c:strCache>
            </c:strRef>
          </c:cat>
          <c:val>
            <c:numRef>
              <c:f>'Overall Charts'!$C$14:$D$14</c:f>
              <c:numCache>
                <c:formatCode>#,##0</c:formatCode>
                <c:ptCount val="2"/>
                <c:pt idx="0">
                  <c:v>7542</c:v>
                </c:pt>
                <c:pt idx="1">
                  <c:v>10527</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Calibri"/>
                <a:cs typeface="Calibri"/>
              </a:rPr>
              <a:t>NIH Total Workforce by Disability Status as of 4th Q FY 2014 </a:t>
            </a:r>
          </a:p>
          <a:p>
            <a:pPr>
              <a:defRPr/>
            </a:pPr>
            <a:r>
              <a:rPr lang="en-US" sz="1000">
                <a:latin typeface="Calibri"/>
                <a:cs typeface="Calibri"/>
              </a:rPr>
              <a:t>(Excludes CC and EI Pay Plans)</a:t>
            </a:r>
          </a:p>
        </c:rich>
      </c:tx>
      <c:overlay val="0"/>
    </c:title>
    <c:autoTitleDeleted val="0"/>
    <c:plotArea>
      <c:layout/>
      <c:barChart>
        <c:barDir val="col"/>
        <c:grouping val="clustered"/>
        <c:varyColors val="0"/>
        <c:ser>
          <c:idx val="1"/>
          <c:order val="0"/>
          <c:tx>
            <c:v>FY 2013</c:v>
          </c:tx>
          <c:spPr>
            <a:solidFill>
              <a:schemeClr val="accent3"/>
            </a:solidFill>
          </c:spPr>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Wrkfrc Disability Charts'!$C$1:$G$1</c:f>
              <c:strCache>
                <c:ptCount val="5"/>
                <c:pt idx="0">
                  <c:v>
No
Disability</c:v>
                </c:pt>
                <c:pt idx="1">
                  <c:v>
Not
Identified</c:v>
                </c:pt>
                <c:pt idx="2">
                  <c:v>
All
Disability</c:v>
                </c:pt>
                <c:pt idx="3">
                  <c:v>
Targeted
Disability</c:v>
                </c:pt>
                <c:pt idx="4">
                  <c:v>Federal Goal for Targeted Disability</c:v>
                </c:pt>
              </c:strCache>
            </c:strRef>
          </c:cat>
          <c:val>
            <c:numRef>
              <c:f>'Total Wrkfrc Disability Charts'!$C$3:$G$3</c:f>
              <c:numCache>
                <c:formatCode>#,##0.0[$%-409]</c:formatCode>
                <c:ptCount val="5"/>
                <c:pt idx="0">
                  <c:v>89.718049205312496</c:v>
                </c:pt>
                <c:pt idx="1">
                  <c:v>3.1134334857391681</c:v>
                </c:pt>
                <c:pt idx="2">
                  <c:v>7.1685173089483927</c:v>
                </c:pt>
                <c:pt idx="3">
                  <c:v>1.2355758763335509</c:v>
                </c:pt>
                <c:pt idx="4">
                  <c:v>2</c:v>
                </c:pt>
              </c:numCache>
            </c:numRef>
          </c:val>
        </c:ser>
        <c:ser>
          <c:idx val="3"/>
          <c:order val="1"/>
          <c:tx>
            <c:v>FY 2014</c:v>
          </c:tx>
          <c:spPr>
            <a:solidFill>
              <a:schemeClr val="accent1"/>
            </a:solidFill>
          </c:spPr>
          <c:invertIfNegative val="0"/>
          <c:dLbls>
            <c:dLbl>
              <c:idx val="0"/>
              <c:layout>
                <c:manualLayout>
                  <c:x val="1.1096316023080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Wrkfrc Disability Charts'!$C$1:$G$1</c:f>
              <c:strCache>
                <c:ptCount val="5"/>
                <c:pt idx="0">
                  <c:v>
No
Disability</c:v>
                </c:pt>
                <c:pt idx="1">
                  <c:v>
Not
Identified</c:v>
                </c:pt>
                <c:pt idx="2">
                  <c:v>
All
Disability</c:v>
                </c:pt>
                <c:pt idx="3">
                  <c:v>
Targeted
Disability</c:v>
                </c:pt>
                <c:pt idx="4">
                  <c:v>Federal Goal for Targeted Disability</c:v>
                </c:pt>
              </c:strCache>
            </c:strRef>
          </c:cat>
          <c:val>
            <c:numRef>
              <c:f>'Total Wrkfrc Disability Charts'!$C$5:$G$5</c:f>
              <c:numCache>
                <c:formatCode>#,##0.0[$%-409]</c:formatCode>
                <c:ptCount val="5"/>
                <c:pt idx="0">
                  <c:v>89.861088051358678</c:v>
                </c:pt>
                <c:pt idx="1">
                  <c:v>3.0936963860755999</c:v>
                </c:pt>
                <c:pt idx="2">
                  <c:v>7.0452155625657138</c:v>
                </c:pt>
                <c:pt idx="3">
                  <c:v>1.21755492833029</c:v>
                </c:pt>
                <c:pt idx="4">
                  <c:v>2</c:v>
                </c:pt>
              </c:numCache>
            </c:numRef>
          </c:val>
        </c:ser>
        <c:dLbls>
          <c:showLegendKey val="0"/>
          <c:showVal val="0"/>
          <c:showCatName val="0"/>
          <c:showSerName val="0"/>
          <c:showPercent val="0"/>
          <c:showBubbleSize val="0"/>
        </c:dLbls>
        <c:gapWidth val="150"/>
        <c:axId val="279366792"/>
        <c:axId val="279367184"/>
      </c:barChart>
      <c:catAx>
        <c:axId val="279366792"/>
        <c:scaling>
          <c:orientation val="minMax"/>
        </c:scaling>
        <c:delete val="0"/>
        <c:axPos val="b"/>
        <c:numFmt formatCode="General" sourceLinked="1"/>
        <c:majorTickMark val="none"/>
        <c:minorTickMark val="none"/>
        <c:tickLblPos val="nextTo"/>
        <c:crossAx val="279367184"/>
        <c:crosses val="autoZero"/>
        <c:auto val="1"/>
        <c:lblAlgn val="ctr"/>
        <c:lblOffset val="100"/>
        <c:noMultiLvlLbl val="0"/>
      </c:catAx>
      <c:valAx>
        <c:axId val="279367184"/>
        <c:scaling>
          <c:orientation val="minMax"/>
        </c:scaling>
        <c:delete val="0"/>
        <c:axPos val="l"/>
        <c:numFmt formatCode="#,##0.0[$%-409]" sourceLinked="1"/>
        <c:majorTickMark val="none"/>
        <c:minorTickMark val="none"/>
        <c:tickLblPos val="nextTo"/>
        <c:crossAx val="27936679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Calibri"/>
                <a:cs typeface="Calibri"/>
              </a:defRPr>
            </a:pPr>
            <a:r>
              <a:rPr lang="en-US" sz="1000">
                <a:latin typeface="Calibri"/>
                <a:cs typeface="Calibri"/>
              </a:rPr>
              <a:t>Percentage of NIH Workforce with Targeted Disabilities (FY 2009-FY 2014) </a:t>
            </a:r>
          </a:p>
          <a:p>
            <a:pPr>
              <a:defRPr sz="1000">
                <a:latin typeface="Calibri"/>
                <a:cs typeface="Calibri"/>
              </a:defRPr>
            </a:pPr>
            <a:r>
              <a:rPr lang="en-US" sz="1000">
                <a:latin typeface="Calibri"/>
                <a:cs typeface="Calibri"/>
              </a:rPr>
              <a:t>Total Workforce vs. Permanent Workforce</a:t>
            </a:r>
          </a:p>
        </c:rich>
      </c:tx>
      <c:overlay val="0"/>
    </c:title>
    <c:autoTitleDeleted val="0"/>
    <c:plotArea>
      <c:layout/>
      <c:lineChart>
        <c:grouping val="standard"/>
        <c:varyColors val="0"/>
        <c:ser>
          <c:idx val="0"/>
          <c:order val="0"/>
          <c:tx>
            <c:strRef>
              <c:f>'Perm_Temp Disab Charts'!$D$51</c:f>
              <c:strCache>
                <c:ptCount val="1"/>
                <c:pt idx="0">
                  <c:v>Total Workforce</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'Perm_Temp Disab Charts'!$C$52:$C$57</c:f>
              <c:strCache>
                <c:ptCount val="6"/>
                <c:pt idx="0">
                  <c:v>FY2009</c:v>
                </c:pt>
                <c:pt idx="1">
                  <c:v>FY2010</c:v>
                </c:pt>
                <c:pt idx="2">
                  <c:v>FY2011</c:v>
                </c:pt>
                <c:pt idx="3">
                  <c:v>FY2012</c:v>
                </c:pt>
                <c:pt idx="4">
                  <c:v>FY2013</c:v>
                </c:pt>
                <c:pt idx="5">
                  <c:v>FY2014</c:v>
                </c:pt>
              </c:strCache>
            </c:strRef>
          </c:cat>
          <c:val>
            <c:numRef>
              <c:f>'Perm_Temp Disab Charts'!$D$52:$D$57</c:f>
              <c:numCache>
                <c:formatCode>0.0%</c:formatCode>
                <c:ptCount val="6"/>
                <c:pt idx="0">
                  <c:v>9.7000000000000003E-3</c:v>
                </c:pt>
                <c:pt idx="1">
                  <c:v>1.0999999999999999E-2</c:v>
                </c:pt>
                <c:pt idx="2">
                  <c:v>1.1599999999999999E-2</c:v>
                </c:pt>
                <c:pt idx="3">
                  <c:v>1.21E-2</c:v>
                </c:pt>
                <c:pt idx="4">
                  <c:v>1.24E-2</c:v>
                </c:pt>
                <c:pt idx="5">
                  <c:v>1.2200000000000001E-2</c:v>
                </c:pt>
              </c:numCache>
            </c:numRef>
          </c:val>
          <c:smooth val="0"/>
        </c:ser>
        <c:ser>
          <c:idx val="1"/>
          <c:order val="1"/>
          <c:tx>
            <c:strRef>
              <c:f>'Perm_Temp Disab Charts'!$E$51</c:f>
              <c:strCache>
                <c:ptCount val="1"/>
                <c:pt idx="0">
                  <c:v>Permanent Workforce</c:v>
                </c:pt>
              </c:strCache>
            </c:strRef>
          </c:tx>
          <c:spPr>
            <a:ln>
              <a:solidFill>
                <a:srgbClr val="00B050"/>
              </a:solidFill>
            </a:ln>
          </c:spPr>
          <c:marker>
            <c:spPr>
              <a:solidFill>
                <a:srgbClr val="00B050"/>
              </a:solidFill>
              <a:ln>
                <a:solidFill>
                  <a:srgbClr val="00B05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'Perm_Temp Disab Charts'!$C$52:$C$57</c:f>
              <c:strCache>
                <c:ptCount val="6"/>
                <c:pt idx="0">
                  <c:v>FY2009</c:v>
                </c:pt>
                <c:pt idx="1">
                  <c:v>FY2010</c:v>
                </c:pt>
                <c:pt idx="2">
                  <c:v>FY2011</c:v>
                </c:pt>
                <c:pt idx="3">
                  <c:v>FY2012</c:v>
                </c:pt>
                <c:pt idx="4">
                  <c:v>FY2013</c:v>
                </c:pt>
                <c:pt idx="5">
                  <c:v>FY2014</c:v>
                </c:pt>
              </c:strCache>
            </c:strRef>
          </c:cat>
          <c:val>
            <c:numRef>
              <c:f>'Perm_Temp Disab Charts'!$E$52:$E$57</c:f>
              <c:numCache>
                <c:formatCode>0.0%</c:formatCode>
                <c:ptCount val="6"/>
                <c:pt idx="0">
                  <c:v>1.18E-2</c:v>
                </c:pt>
                <c:pt idx="1">
                  <c:v>1.37E-2</c:v>
                </c:pt>
                <c:pt idx="2">
                  <c:v>1.41E-2</c:v>
                </c:pt>
                <c:pt idx="3">
                  <c:v>1.43E-2</c:v>
                </c:pt>
                <c:pt idx="4">
                  <c:v>1.4800000000000001E-2</c:v>
                </c:pt>
                <c:pt idx="5">
                  <c:v>1.4500000000000001E-2</c:v>
                </c:pt>
              </c:numCache>
            </c:numRef>
          </c:val>
          <c:smooth val="0"/>
        </c:ser>
        <c:ser>
          <c:idx val="2"/>
          <c:order val="2"/>
          <c:tx>
            <c:strRef>
              <c:f>'Perm_Temp Disab Charts'!$F$51</c:f>
              <c:strCache>
                <c:ptCount val="1"/>
                <c:pt idx="0">
                  <c:v>Federal Goal</c:v>
                </c:pt>
              </c:strCache>
            </c:strRef>
          </c:tx>
          <c:spPr>
            <a:ln>
              <a:solidFill>
                <a:srgbClr val="FF0000"/>
              </a:solidFill>
            </a:ln>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'Perm_Temp Disab Charts'!$C$52:$C$57</c:f>
              <c:strCache>
                <c:ptCount val="6"/>
                <c:pt idx="0">
                  <c:v>FY2009</c:v>
                </c:pt>
                <c:pt idx="1">
                  <c:v>FY2010</c:v>
                </c:pt>
                <c:pt idx="2">
                  <c:v>FY2011</c:v>
                </c:pt>
                <c:pt idx="3">
                  <c:v>FY2012</c:v>
                </c:pt>
                <c:pt idx="4">
                  <c:v>FY2013</c:v>
                </c:pt>
                <c:pt idx="5">
                  <c:v>FY2014</c:v>
                </c:pt>
              </c:strCache>
            </c:strRef>
          </c:cat>
          <c:val>
            <c:numRef>
              <c:f>'Perm_Temp Disab Charts'!$F$52:$F$57</c:f>
              <c:numCache>
                <c:formatCode>0.0%</c:formatCode>
                <c:ptCount val="6"/>
                <c:pt idx="0">
                  <c:v>0.02</c:v>
                </c:pt>
                <c:pt idx="1">
                  <c:v>0.02</c:v>
                </c:pt>
                <c:pt idx="2">
                  <c:v>0.02</c:v>
                </c:pt>
                <c:pt idx="3">
                  <c:v>0.02</c:v>
                </c:pt>
                <c:pt idx="4">
                  <c:v>0.02</c:v>
                </c:pt>
                <c:pt idx="5">
                  <c:v>0.02</c:v>
                </c:pt>
              </c:numCache>
            </c:numRef>
          </c:val>
          <c:smooth val="0"/>
        </c:ser>
        <c:dLbls>
          <c:showLegendKey val="0"/>
          <c:showVal val="0"/>
          <c:showCatName val="0"/>
          <c:showSerName val="0"/>
          <c:showPercent val="0"/>
          <c:showBubbleSize val="0"/>
        </c:dLbls>
        <c:marker val="1"/>
        <c:smooth val="0"/>
        <c:axId val="279368360"/>
        <c:axId val="279368752"/>
      </c:lineChart>
      <c:catAx>
        <c:axId val="279368360"/>
        <c:scaling>
          <c:orientation val="minMax"/>
        </c:scaling>
        <c:delete val="0"/>
        <c:axPos val="b"/>
        <c:numFmt formatCode="General" sourceLinked="1"/>
        <c:majorTickMark val="none"/>
        <c:minorTickMark val="none"/>
        <c:tickLblPos val="nextTo"/>
        <c:txPr>
          <a:bodyPr/>
          <a:lstStyle/>
          <a:p>
            <a:pPr>
              <a:defRPr sz="800"/>
            </a:pPr>
            <a:endParaRPr lang="en-US"/>
          </a:p>
        </c:txPr>
        <c:crossAx val="279368752"/>
        <c:crosses val="autoZero"/>
        <c:auto val="1"/>
        <c:lblAlgn val="ctr"/>
        <c:lblOffset val="100"/>
        <c:noMultiLvlLbl val="0"/>
      </c:catAx>
      <c:valAx>
        <c:axId val="279368752"/>
        <c:scaling>
          <c:orientation val="minMax"/>
        </c:scaling>
        <c:delete val="0"/>
        <c:axPos val="l"/>
        <c:majorGridlines/>
        <c:numFmt formatCode="0.0%" sourceLinked="1"/>
        <c:majorTickMark val="none"/>
        <c:minorTickMark val="none"/>
        <c:tickLblPos val="nextTo"/>
        <c:txPr>
          <a:bodyPr/>
          <a:lstStyle/>
          <a:p>
            <a:pPr>
              <a:defRPr sz="800"/>
            </a:pPr>
            <a:endParaRPr lang="en-US"/>
          </a:p>
        </c:txPr>
        <c:crossAx val="279368360"/>
        <c:crosses val="autoZero"/>
        <c:crossBetween val="between"/>
      </c:valAx>
    </c:plotArea>
    <c:legend>
      <c:legendPos val="t"/>
      <c:overlay val="0"/>
      <c:txPr>
        <a:bodyPr/>
        <a:lstStyle/>
        <a:p>
          <a:pPr>
            <a:defRPr sz="8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Calibri"/>
                <a:cs typeface="Calibri"/>
              </a:rPr>
              <a:t>NIH Total Workforce Net Percentage Change from FY 2013 to FY 2014 </a:t>
            </a:r>
          </a:p>
          <a:p>
            <a:pPr>
              <a:defRPr/>
            </a:pPr>
            <a:r>
              <a:rPr lang="en-US" sz="1000">
                <a:latin typeface="Calibri"/>
                <a:cs typeface="Calibri"/>
              </a:rPr>
              <a:t>by Disability Status</a:t>
            </a:r>
          </a:p>
        </c:rich>
      </c:tx>
      <c:overlay val="0"/>
    </c:title>
    <c:autoTitleDeleted val="0"/>
    <c:plotArea>
      <c:layout/>
      <c:barChart>
        <c:barDir val="col"/>
        <c:grouping val="clustered"/>
        <c:varyColors val="0"/>
        <c:ser>
          <c:idx val="0"/>
          <c:order val="0"/>
          <c:tx>
            <c:v>% Disability Status Change from previous year</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Wrkfrc Disability Charts'!$C$1:$F$1</c:f>
              <c:strCache>
                <c:ptCount val="4"/>
                <c:pt idx="0">
                  <c:v>
No
Disability</c:v>
                </c:pt>
                <c:pt idx="1">
                  <c:v>
Not
Identified</c:v>
                </c:pt>
                <c:pt idx="2">
                  <c:v>
All
Disability</c:v>
                </c:pt>
                <c:pt idx="3">
                  <c:v>
Targeted
Disability</c:v>
                </c:pt>
              </c:strCache>
            </c:strRef>
          </c:cat>
          <c:val>
            <c:numRef>
              <c:f>'Total Wrkfrc Disability Charts'!$C$8:$F$8</c:f>
              <c:numCache>
                <c:formatCode>#,##0.0[$%-409]</c:formatCode>
                <c:ptCount val="4"/>
                <c:pt idx="0">
                  <c:v>-1.4924467633319181</c:v>
                </c:pt>
                <c:pt idx="1">
                  <c:v>-2.2727272727272729</c:v>
                </c:pt>
                <c:pt idx="2">
                  <c:v>-3.3409263477600608</c:v>
                </c:pt>
                <c:pt idx="3">
                  <c:v>-3.0837004405286348</c:v>
                </c:pt>
              </c:numCache>
            </c:numRef>
          </c:val>
        </c:ser>
        <c:dLbls>
          <c:showLegendKey val="0"/>
          <c:showVal val="0"/>
          <c:showCatName val="0"/>
          <c:showSerName val="0"/>
          <c:showPercent val="0"/>
          <c:showBubbleSize val="0"/>
        </c:dLbls>
        <c:gapWidth val="150"/>
        <c:axId val="279369536"/>
        <c:axId val="279369928"/>
      </c:barChart>
      <c:catAx>
        <c:axId val="279369536"/>
        <c:scaling>
          <c:orientation val="minMax"/>
        </c:scaling>
        <c:delete val="0"/>
        <c:axPos val="b"/>
        <c:numFmt formatCode="General" sourceLinked="1"/>
        <c:majorTickMark val="none"/>
        <c:minorTickMark val="none"/>
        <c:tickLblPos val="nextTo"/>
        <c:crossAx val="279369928"/>
        <c:crosses val="autoZero"/>
        <c:auto val="1"/>
        <c:lblAlgn val="ctr"/>
        <c:lblOffset val="100"/>
        <c:noMultiLvlLbl val="0"/>
      </c:catAx>
      <c:valAx>
        <c:axId val="279369928"/>
        <c:scaling>
          <c:orientation val="minMax"/>
        </c:scaling>
        <c:delete val="0"/>
        <c:axPos val="l"/>
        <c:numFmt formatCode="#,##0.0[$%-409]" sourceLinked="1"/>
        <c:majorTickMark val="none"/>
        <c:minorTickMark val="none"/>
        <c:tickLblPos val="nextTo"/>
        <c:crossAx val="27936953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Calibri"/>
                <a:cs typeface="Calibri"/>
              </a:rPr>
              <a:t>NIH New Hires by Race &amp; Ethnicity FY 2013 vs. FY 2014</a:t>
            </a:r>
          </a:p>
          <a:p>
            <a:pPr>
              <a:defRPr/>
            </a:pPr>
            <a:r>
              <a:rPr lang="en-US" sz="1000">
                <a:latin typeface="Calibri"/>
                <a:cs typeface="Calibri"/>
              </a:rPr>
              <a:t>(Excludes CC and EI Pay Plans) </a:t>
            </a:r>
          </a:p>
        </c:rich>
      </c:tx>
      <c:overlay val="0"/>
    </c:title>
    <c:autoTitleDeleted val="0"/>
    <c:plotArea>
      <c:layout>
        <c:manualLayout>
          <c:layoutTarget val="inner"/>
          <c:xMode val="edge"/>
          <c:yMode val="edge"/>
          <c:x val="0.10529089742390001"/>
          <c:y val="0.114613676722904"/>
          <c:w val="0.87914600127445897"/>
          <c:h val="0.60352038375065797"/>
        </c:manualLayout>
      </c:layout>
      <c:barChart>
        <c:barDir val="col"/>
        <c:grouping val="stacked"/>
        <c:varyColors val="0"/>
        <c:ser>
          <c:idx val="5"/>
          <c:order val="0"/>
          <c:tx>
            <c:strRef>
              <c:f>'New Hires By RNO'!$A$80</c:f>
              <c:strCache>
                <c:ptCount val="1"/>
                <c:pt idx="0">
                  <c:v>UNKNOWN</c:v>
                </c:pt>
              </c:strCache>
            </c:strRef>
          </c:tx>
          <c:invertIfNegative val="0"/>
          <c:cat>
            <c:strRef>
              <c:f>'New Hires By RNO'!$B$74:$C$74</c:f>
              <c:strCache>
                <c:ptCount val="2"/>
                <c:pt idx="0">
                  <c:v>2013 Hires</c:v>
                </c:pt>
                <c:pt idx="1">
                  <c:v>2014 Hires</c:v>
                </c:pt>
              </c:strCache>
            </c:strRef>
          </c:cat>
          <c:val>
            <c:numRef>
              <c:f>'New Hires By RNO'!$B$80:$C$80</c:f>
              <c:numCache>
                <c:formatCode>0.0%</c:formatCode>
                <c:ptCount val="2"/>
                <c:pt idx="0">
                  <c:v>0</c:v>
                </c:pt>
                <c:pt idx="1">
                  <c:v>0</c:v>
                </c:pt>
              </c:numCache>
            </c:numRef>
          </c:val>
        </c:ser>
        <c:ser>
          <c:idx val="4"/>
          <c:order val="1"/>
          <c:tx>
            <c:strRef>
              <c:f>'New Hires By RNO'!$A$79</c:f>
              <c:strCache>
                <c:ptCount val="1"/>
                <c:pt idx="0">
                  <c:v>AM-IND/ALASKA</c:v>
                </c:pt>
              </c:strCache>
            </c:strRef>
          </c:tx>
          <c:spPr>
            <a:solidFill>
              <a:srgbClr val="FFFF00"/>
            </a:solidFill>
          </c:spPr>
          <c:invertIfNegative val="0"/>
          <c:cat>
            <c:strRef>
              <c:f>'New Hires By RNO'!$B$74:$C$74</c:f>
              <c:strCache>
                <c:ptCount val="2"/>
                <c:pt idx="0">
                  <c:v>2013 Hires</c:v>
                </c:pt>
                <c:pt idx="1">
                  <c:v>2014 Hires</c:v>
                </c:pt>
              </c:strCache>
            </c:strRef>
          </c:cat>
          <c:val>
            <c:numRef>
              <c:f>'New Hires By RNO'!$B$79:$C$79</c:f>
              <c:numCache>
                <c:formatCode>0.0%</c:formatCode>
                <c:ptCount val="2"/>
                <c:pt idx="0">
                  <c:v>4.1999999999999997E-3</c:v>
                </c:pt>
                <c:pt idx="1">
                  <c:v>4.4999999999999997E-3</c:v>
                </c:pt>
              </c:numCache>
            </c:numRef>
          </c:val>
        </c:ser>
        <c:ser>
          <c:idx val="3"/>
          <c:order val="2"/>
          <c:tx>
            <c:strRef>
              <c:f>'New Hires By RNO'!$A$78</c:f>
              <c:strCache>
                <c:ptCount val="1"/>
                <c:pt idx="0">
                  <c:v>ASIAN/PACIF 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'New Hires By RNO'!$B$74:$C$74</c:f>
              <c:strCache>
                <c:ptCount val="2"/>
                <c:pt idx="0">
                  <c:v>2013 Hires</c:v>
                </c:pt>
                <c:pt idx="1">
                  <c:v>2014 Hires</c:v>
                </c:pt>
              </c:strCache>
            </c:strRef>
          </c:cat>
          <c:val>
            <c:numRef>
              <c:f>'New Hires By RNO'!$B$78:$C$78</c:f>
              <c:numCache>
                <c:formatCode>0.0%</c:formatCode>
                <c:ptCount val="2"/>
                <c:pt idx="0">
                  <c:v>0.2233</c:v>
                </c:pt>
                <c:pt idx="1">
                  <c:v>0.2291</c:v>
                </c:pt>
              </c:numCache>
            </c:numRef>
          </c:val>
        </c:ser>
        <c:ser>
          <c:idx val="2"/>
          <c:order val="3"/>
          <c:tx>
            <c:strRef>
              <c:f>'New Hires By RNO'!$A$77</c:f>
              <c:strCache>
                <c:ptCount val="1"/>
                <c:pt idx="0">
                  <c:v>BLACK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'New Hires By RNO'!$B$74:$C$74</c:f>
              <c:strCache>
                <c:ptCount val="2"/>
                <c:pt idx="0">
                  <c:v>2013 Hires</c:v>
                </c:pt>
                <c:pt idx="1">
                  <c:v>2014 Hires</c:v>
                </c:pt>
              </c:strCache>
            </c:strRef>
          </c:cat>
          <c:val>
            <c:numRef>
              <c:f>'New Hires By RNO'!$B$77:$C$77</c:f>
              <c:numCache>
                <c:formatCode>0.0%</c:formatCode>
                <c:ptCount val="2"/>
                <c:pt idx="0">
                  <c:v>0.19939999999999999</c:v>
                </c:pt>
                <c:pt idx="1">
                  <c:v>0.2011</c:v>
                </c:pt>
              </c:numCache>
            </c:numRef>
          </c:val>
        </c:ser>
        <c:ser>
          <c:idx val="1"/>
          <c:order val="4"/>
          <c:tx>
            <c:strRef>
              <c:f>'New Hires By RNO'!$A$76</c:f>
              <c:strCache>
                <c:ptCount val="1"/>
                <c:pt idx="0">
                  <c:v>HISPANIC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'New Hires By RNO'!$B$74:$C$74</c:f>
              <c:strCache>
                <c:ptCount val="2"/>
                <c:pt idx="0">
                  <c:v>2013 Hires</c:v>
                </c:pt>
                <c:pt idx="1">
                  <c:v>2014 Hires</c:v>
                </c:pt>
              </c:strCache>
            </c:strRef>
          </c:cat>
          <c:val>
            <c:numRef>
              <c:f>'New Hires By RNO'!$B$76:$C$76</c:f>
              <c:numCache>
                <c:formatCode>0.0%</c:formatCode>
                <c:ptCount val="2"/>
                <c:pt idx="0">
                  <c:v>3.7999999999999999E-2</c:v>
                </c:pt>
                <c:pt idx="1">
                  <c:v>2.7300000000000001E-2</c:v>
                </c:pt>
              </c:numCache>
            </c:numRef>
          </c:val>
        </c:ser>
        <c:ser>
          <c:idx val="0"/>
          <c:order val="5"/>
          <c:tx>
            <c:strRef>
              <c:f>'New Hires By RNO'!$A$75</c:f>
              <c:strCache>
                <c:ptCount val="1"/>
                <c:pt idx="0">
                  <c:v>WHITE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'New Hires By RNO'!$B$74:$C$74</c:f>
              <c:strCache>
                <c:ptCount val="2"/>
                <c:pt idx="0">
                  <c:v>2013 Hires</c:v>
                </c:pt>
                <c:pt idx="1">
                  <c:v>2014 Hires</c:v>
                </c:pt>
              </c:strCache>
            </c:strRef>
          </c:cat>
          <c:val>
            <c:numRef>
              <c:f>'New Hires By RNO'!$B$75:$C$75</c:f>
              <c:numCache>
                <c:formatCode>0.0%</c:formatCode>
                <c:ptCount val="2"/>
                <c:pt idx="0">
                  <c:v>0.53520000000000001</c:v>
                </c:pt>
                <c:pt idx="1">
                  <c:v>0.53790000000000004</c:v>
                </c:pt>
              </c:numCache>
            </c:numRef>
          </c:val>
        </c:ser>
        <c:dLbls>
          <c:showLegendKey val="0"/>
          <c:showVal val="0"/>
          <c:showCatName val="0"/>
          <c:showSerName val="0"/>
          <c:showPercent val="0"/>
          <c:showBubbleSize val="0"/>
        </c:dLbls>
        <c:gapWidth val="150"/>
        <c:overlap val="100"/>
        <c:axId val="279371104"/>
        <c:axId val="279371496"/>
      </c:barChart>
      <c:catAx>
        <c:axId val="279371104"/>
        <c:scaling>
          <c:orientation val="minMax"/>
        </c:scaling>
        <c:delete val="0"/>
        <c:axPos val="b"/>
        <c:numFmt formatCode="General" sourceLinked="0"/>
        <c:majorTickMark val="none"/>
        <c:minorTickMark val="none"/>
        <c:tickLblPos val="nextTo"/>
        <c:crossAx val="279371496"/>
        <c:crosses val="autoZero"/>
        <c:auto val="1"/>
        <c:lblAlgn val="ctr"/>
        <c:lblOffset val="100"/>
        <c:noMultiLvlLbl val="0"/>
      </c:catAx>
      <c:valAx>
        <c:axId val="279371496"/>
        <c:scaling>
          <c:orientation val="minMax"/>
          <c:max val="1"/>
        </c:scaling>
        <c:delete val="0"/>
        <c:axPos val="l"/>
        <c:majorGridlines/>
        <c:numFmt formatCode="0.0%" sourceLinked="1"/>
        <c:majorTickMark val="none"/>
        <c:minorTickMark val="none"/>
        <c:tickLblPos val="nextTo"/>
        <c:crossAx val="27937110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NIH </a:t>
            </a:r>
            <a:r>
              <a:rPr lang="en-US"/>
              <a:t>Total Workforce New Hires by Disability Status as of 4th Q FY 2014 </a:t>
            </a:r>
          </a:p>
          <a:p>
            <a:pPr>
              <a:defRPr/>
            </a:pPr>
            <a:r>
              <a:rPr lang="en-US"/>
              <a:t>(Excludes CC and EI Pay Plans)</a:t>
            </a:r>
          </a:p>
        </c:rich>
      </c:tx>
      <c:overlay val="0"/>
    </c:title>
    <c:autoTitleDeleted val="0"/>
    <c:plotArea>
      <c:layout/>
      <c:barChart>
        <c:barDir val="col"/>
        <c:grouping val="clustered"/>
        <c:varyColors val="0"/>
        <c:ser>
          <c:idx val="1"/>
          <c:order val="0"/>
          <c:tx>
            <c:v>FY 2013</c:v>
          </c:tx>
          <c:spPr>
            <a:solidFill>
              <a:schemeClr val="accent3"/>
            </a:solidFill>
          </c:spPr>
          <c:invertIfNegative val="0"/>
          <c:cat>
            <c:strRef>
              <c:f>'NIH T Wrkfrc Disability Ch '!$C$1:$G$1</c:f>
              <c:strCache>
                <c:ptCount val="5"/>
                <c:pt idx="0">
                  <c:v>
No
Disability</c:v>
                </c:pt>
                <c:pt idx="1">
                  <c:v>
Not
Identified</c:v>
                </c:pt>
                <c:pt idx="2">
                  <c:v>
All
Disability</c:v>
                </c:pt>
                <c:pt idx="3">
                  <c:v>
Targeted
Disability</c:v>
                </c:pt>
                <c:pt idx="4">
                  <c:v>Federal Goal for Targeted Disability</c:v>
                </c:pt>
              </c:strCache>
            </c:strRef>
          </c:cat>
          <c:val>
            <c:numRef>
              <c:f>'NIH T Wrkfrc Disability Ch '!$C$3:$G$3</c:f>
              <c:numCache>
                <c:formatCode>#,##0.0[$%-409]</c:formatCode>
                <c:ptCount val="5"/>
                <c:pt idx="0">
                  <c:v>90.5</c:v>
                </c:pt>
                <c:pt idx="1">
                  <c:v>4.2</c:v>
                </c:pt>
                <c:pt idx="2">
                  <c:v>5.2</c:v>
                </c:pt>
                <c:pt idx="3">
                  <c:v>0.5</c:v>
                </c:pt>
                <c:pt idx="4">
                  <c:v>2</c:v>
                </c:pt>
              </c:numCache>
            </c:numRef>
          </c:val>
        </c:ser>
        <c:ser>
          <c:idx val="3"/>
          <c:order val="1"/>
          <c:tx>
            <c:v>FY 2014</c:v>
          </c:tx>
          <c:spPr>
            <a:solidFill>
              <a:schemeClr val="accent1"/>
            </a:solidFill>
          </c:spPr>
          <c:invertIfNegative val="0"/>
          <c:cat>
            <c:strRef>
              <c:f>'NIH T Wrkfrc Disability Ch '!$C$1:$G$1</c:f>
              <c:strCache>
                <c:ptCount val="5"/>
                <c:pt idx="0">
                  <c:v>
No
Disability</c:v>
                </c:pt>
                <c:pt idx="1">
                  <c:v>
Not
Identified</c:v>
                </c:pt>
                <c:pt idx="2">
                  <c:v>
All
Disability</c:v>
                </c:pt>
                <c:pt idx="3">
                  <c:v>
Targeted
Disability</c:v>
                </c:pt>
                <c:pt idx="4">
                  <c:v>Federal Goal for Targeted Disability</c:v>
                </c:pt>
              </c:strCache>
            </c:strRef>
          </c:cat>
          <c:val>
            <c:numRef>
              <c:f>'NIH T Wrkfrc Disability Ch '!$C$5:$G$5</c:f>
              <c:numCache>
                <c:formatCode>#,##0.0[$%-409]</c:formatCode>
                <c:ptCount val="5"/>
                <c:pt idx="0">
                  <c:v>88.9</c:v>
                </c:pt>
                <c:pt idx="1">
                  <c:v>5.8</c:v>
                </c:pt>
                <c:pt idx="2">
                  <c:v>5.4</c:v>
                </c:pt>
                <c:pt idx="3">
                  <c:v>0.8</c:v>
                </c:pt>
                <c:pt idx="4">
                  <c:v>2</c:v>
                </c:pt>
              </c:numCache>
            </c:numRef>
          </c:val>
        </c:ser>
        <c:dLbls>
          <c:showLegendKey val="0"/>
          <c:showVal val="0"/>
          <c:showCatName val="0"/>
          <c:showSerName val="0"/>
          <c:showPercent val="0"/>
          <c:showBubbleSize val="0"/>
        </c:dLbls>
        <c:gapWidth val="150"/>
        <c:axId val="279373456"/>
        <c:axId val="277101440"/>
      </c:barChart>
      <c:catAx>
        <c:axId val="279373456"/>
        <c:scaling>
          <c:orientation val="minMax"/>
        </c:scaling>
        <c:delete val="0"/>
        <c:axPos val="b"/>
        <c:numFmt formatCode="General" sourceLinked="1"/>
        <c:majorTickMark val="none"/>
        <c:minorTickMark val="none"/>
        <c:tickLblPos val="nextTo"/>
        <c:crossAx val="277101440"/>
        <c:crosses val="autoZero"/>
        <c:auto val="1"/>
        <c:lblAlgn val="ctr"/>
        <c:lblOffset val="100"/>
        <c:noMultiLvlLbl val="0"/>
      </c:catAx>
      <c:valAx>
        <c:axId val="277101440"/>
        <c:scaling>
          <c:orientation val="minMax"/>
        </c:scaling>
        <c:delete val="0"/>
        <c:axPos val="l"/>
        <c:numFmt formatCode="#,##0.0[$%-409]" sourceLinked="1"/>
        <c:majorTickMark val="none"/>
        <c:minorTickMark val="none"/>
        <c:tickLblPos val="nextTo"/>
        <c:crossAx val="27937345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00"/>
            </a:pPr>
            <a:r>
              <a:rPr lang="en-US" sz="1000">
                <a:latin typeface="Times New Roman" panose="02020603050405020304" pitchFamily="18" charset="0"/>
                <a:cs typeface="Times New Roman" panose="02020603050405020304" pitchFamily="18" charset="0"/>
              </a:rPr>
              <a:t>NIH Permanent Separations by Race &amp; Ethnicity FY 2013 vs. FY 2014</a:t>
            </a:r>
          </a:p>
          <a:p>
            <a:pPr>
              <a:defRPr sz="600"/>
            </a:pPr>
            <a:r>
              <a:rPr lang="en-US" sz="1000">
                <a:latin typeface="Times New Roman" panose="02020603050405020304" pitchFamily="18" charset="0"/>
                <a:cs typeface="Times New Roman" panose="02020603050405020304" pitchFamily="18" charset="0"/>
              </a:rPr>
              <a:t>(Excludes CC and EI Pay Plans)</a:t>
            </a:r>
          </a:p>
        </c:rich>
      </c:tx>
      <c:overlay val="0"/>
    </c:title>
    <c:autoTitleDeleted val="0"/>
    <c:plotArea>
      <c:layout>
        <c:manualLayout>
          <c:layoutTarget val="inner"/>
          <c:xMode val="edge"/>
          <c:yMode val="edge"/>
          <c:x val="0.10529089742390001"/>
          <c:y val="0.114613676722904"/>
          <c:w val="0.87914600127445897"/>
          <c:h val="0.60352038375065797"/>
        </c:manualLayout>
      </c:layout>
      <c:barChart>
        <c:barDir val="col"/>
        <c:grouping val="stacked"/>
        <c:varyColors val="0"/>
        <c:ser>
          <c:idx val="5"/>
          <c:order val="0"/>
          <c:tx>
            <c:strRef>
              <c:f>'[Chart 2 in Microsoft Word]Seprations'!$A$80</c:f>
              <c:strCache>
                <c:ptCount val="1"/>
                <c:pt idx="0">
                  <c:v>UNKNOWN</c:v>
                </c:pt>
              </c:strCache>
            </c:strRef>
          </c:tx>
          <c:invertIfNegative val="0"/>
          <c:cat>
            <c:strRef>
              <c:f>'[Chart 2 in Microsoft Word]Seprations'!$B$74:$C$74</c:f>
              <c:strCache>
                <c:ptCount val="2"/>
                <c:pt idx="0">
                  <c:v>2013 Permanent Separations</c:v>
                </c:pt>
                <c:pt idx="1">
                  <c:v>2014 Permanent Separations</c:v>
                </c:pt>
              </c:strCache>
            </c:strRef>
          </c:cat>
          <c:val>
            <c:numRef>
              <c:f>'[Chart 2 in Microsoft Word]Seprations'!$B$80:$C$80</c:f>
              <c:numCache>
                <c:formatCode>0.0%</c:formatCode>
                <c:ptCount val="2"/>
                <c:pt idx="0">
                  <c:v>0</c:v>
                </c:pt>
                <c:pt idx="1">
                  <c:v>0</c:v>
                </c:pt>
              </c:numCache>
            </c:numRef>
          </c:val>
        </c:ser>
        <c:ser>
          <c:idx val="4"/>
          <c:order val="1"/>
          <c:tx>
            <c:strRef>
              <c:f>'[Chart 2 in Microsoft Word]Seprations'!$A$79</c:f>
              <c:strCache>
                <c:ptCount val="1"/>
                <c:pt idx="0">
                  <c:v>AM-IND/ALASKA</c:v>
                </c:pt>
              </c:strCache>
            </c:strRef>
          </c:tx>
          <c:spPr>
            <a:solidFill>
              <a:srgbClr val="FFFF00"/>
            </a:solidFill>
          </c:spPr>
          <c:invertIfNegative val="0"/>
          <c:cat>
            <c:strRef>
              <c:f>'[Chart 2 in Microsoft Word]Seprations'!$B$74:$C$74</c:f>
              <c:strCache>
                <c:ptCount val="2"/>
                <c:pt idx="0">
                  <c:v>2013 Permanent Separations</c:v>
                </c:pt>
                <c:pt idx="1">
                  <c:v>2014 Permanent Separations</c:v>
                </c:pt>
              </c:strCache>
            </c:strRef>
          </c:cat>
          <c:val>
            <c:numRef>
              <c:f>'[Chart 2 in Microsoft Word]Seprations'!$B$79:$C$79</c:f>
              <c:numCache>
                <c:formatCode>0.0%</c:formatCode>
                <c:ptCount val="2"/>
                <c:pt idx="0">
                  <c:v>6.7000000000000002E-3</c:v>
                </c:pt>
                <c:pt idx="1">
                  <c:v>1.1999999999999999E-3</c:v>
                </c:pt>
              </c:numCache>
            </c:numRef>
          </c:val>
        </c:ser>
        <c:ser>
          <c:idx val="3"/>
          <c:order val="2"/>
          <c:tx>
            <c:strRef>
              <c:f>'[Chart 2 in Microsoft Word]Seprations'!$A$78</c:f>
              <c:strCache>
                <c:ptCount val="1"/>
                <c:pt idx="0">
                  <c:v>ASIAN/PACIF 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Word]Seprations'!$B$74:$C$74</c:f>
              <c:strCache>
                <c:ptCount val="2"/>
                <c:pt idx="0">
                  <c:v>2013 Permanent Separations</c:v>
                </c:pt>
                <c:pt idx="1">
                  <c:v>2014 Permanent Separations</c:v>
                </c:pt>
              </c:strCache>
            </c:strRef>
          </c:cat>
          <c:val>
            <c:numRef>
              <c:f>'[Chart 2 in Microsoft Word]Seprations'!$B$78:$C$78</c:f>
              <c:numCache>
                <c:formatCode>0.0%</c:formatCode>
                <c:ptCount val="2"/>
                <c:pt idx="0">
                  <c:v>8.0799999999999997E-2</c:v>
                </c:pt>
                <c:pt idx="1">
                  <c:v>0.09</c:v>
                </c:pt>
              </c:numCache>
            </c:numRef>
          </c:val>
        </c:ser>
        <c:ser>
          <c:idx val="2"/>
          <c:order val="3"/>
          <c:tx>
            <c:strRef>
              <c:f>'[Chart 2 in Microsoft Word]Seprations'!$A$77</c:f>
              <c:strCache>
                <c:ptCount val="1"/>
                <c:pt idx="0">
                  <c:v>BLACK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Word]Seprations'!$B$74:$C$74</c:f>
              <c:strCache>
                <c:ptCount val="2"/>
                <c:pt idx="0">
                  <c:v>2013 Permanent Separations</c:v>
                </c:pt>
                <c:pt idx="1">
                  <c:v>2014 Permanent Separations</c:v>
                </c:pt>
              </c:strCache>
            </c:strRef>
          </c:cat>
          <c:val>
            <c:numRef>
              <c:f>'[Chart 2 in Microsoft Word]Seprations'!$B$77:$C$77</c:f>
              <c:numCache>
                <c:formatCode>0.0%</c:formatCode>
                <c:ptCount val="2"/>
                <c:pt idx="0">
                  <c:v>0.25040000000000001</c:v>
                </c:pt>
                <c:pt idx="1">
                  <c:v>0.27600000000000002</c:v>
                </c:pt>
              </c:numCache>
            </c:numRef>
          </c:val>
        </c:ser>
        <c:ser>
          <c:idx val="1"/>
          <c:order val="4"/>
          <c:tx>
            <c:strRef>
              <c:f>'[Chart 2 in Microsoft Word]Seprations'!$A$76</c:f>
              <c:strCache>
                <c:ptCount val="1"/>
                <c:pt idx="0">
                  <c:v>HISPANIC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Word]Seprations'!$B$74:$C$74</c:f>
              <c:strCache>
                <c:ptCount val="2"/>
                <c:pt idx="0">
                  <c:v>2013 Permanent Separations</c:v>
                </c:pt>
                <c:pt idx="1">
                  <c:v>2014 Permanent Separations</c:v>
                </c:pt>
              </c:strCache>
            </c:strRef>
          </c:cat>
          <c:val>
            <c:numRef>
              <c:f>'[Chart 2 in Microsoft Word]Seprations'!$B$76:$C$76</c:f>
              <c:numCache>
                <c:formatCode>0.0%</c:formatCode>
                <c:ptCount val="2"/>
                <c:pt idx="0">
                  <c:v>2.69E-2</c:v>
                </c:pt>
                <c:pt idx="1">
                  <c:v>2.9000000000000001E-2</c:v>
                </c:pt>
              </c:numCache>
            </c:numRef>
          </c:val>
        </c:ser>
        <c:ser>
          <c:idx val="0"/>
          <c:order val="5"/>
          <c:tx>
            <c:strRef>
              <c:f>'[Chart 2 in Microsoft Word]Seprations'!$A$75</c:f>
              <c:strCache>
                <c:ptCount val="1"/>
                <c:pt idx="0">
                  <c:v>WHITE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Word]Seprations'!$B$74:$C$74</c:f>
              <c:strCache>
                <c:ptCount val="2"/>
                <c:pt idx="0">
                  <c:v>2013 Permanent Separations</c:v>
                </c:pt>
                <c:pt idx="1">
                  <c:v>2014 Permanent Separations</c:v>
                </c:pt>
              </c:strCache>
            </c:strRef>
          </c:cat>
          <c:val>
            <c:numRef>
              <c:f>'[Chart 2 in Microsoft Word]Seprations'!$B$75:$C$75</c:f>
              <c:numCache>
                <c:formatCode>0.0%</c:formatCode>
                <c:ptCount val="2"/>
                <c:pt idx="0">
                  <c:v>0.63529999999999998</c:v>
                </c:pt>
                <c:pt idx="1">
                  <c:v>0.60499999999999998</c:v>
                </c:pt>
              </c:numCache>
            </c:numRef>
          </c:val>
        </c:ser>
        <c:dLbls>
          <c:showLegendKey val="0"/>
          <c:showVal val="0"/>
          <c:showCatName val="0"/>
          <c:showSerName val="0"/>
          <c:showPercent val="0"/>
          <c:showBubbleSize val="0"/>
        </c:dLbls>
        <c:gapWidth val="150"/>
        <c:overlap val="100"/>
        <c:axId val="284138888"/>
        <c:axId val="284139280"/>
      </c:barChart>
      <c:catAx>
        <c:axId val="284138888"/>
        <c:scaling>
          <c:orientation val="minMax"/>
        </c:scaling>
        <c:delete val="0"/>
        <c:axPos val="b"/>
        <c:numFmt formatCode="General" sourceLinked="0"/>
        <c:majorTickMark val="none"/>
        <c:minorTickMark val="none"/>
        <c:tickLblPos val="nextTo"/>
        <c:crossAx val="284139280"/>
        <c:crosses val="autoZero"/>
        <c:auto val="1"/>
        <c:lblAlgn val="ctr"/>
        <c:lblOffset val="100"/>
        <c:noMultiLvlLbl val="0"/>
      </c:catAx>
      <c:valAx>
        <c:axId val="284139280"/>
        <c:scaling>
          <c:orientation val="minMax"/>
          <c:max val="1"/>
        </c:scaling>
        <c:delete val="0"/>
        <c:axPos val="l"/>
        <c:majorGridlines/>
        <c:numFmt formatCode="0.0%" sourceLinked="1"/>
        <c:majorTickMark val="none"/>
        <c:minorTickMark val="none"/>
        <c:tickLblPos val="nextTo"/>
        <c:crossAx val="28413888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Calibri"/>
                <a:cs typeface="Calibri"/>
              </a:defRPr>
            </a:pPr>
            <a:r>
              <a:rPr lang="en-US" sz="1000">
                <a:latin typeface="Calibri"/>
                <a:cs typeface="Calibri"/>
              </a:rPr>
              <a:t>NIH Temporary Separations By</a:t>
            </a:r>
            <a:r>
              <a:rPr lang="en-US" sz="1000" baseline="0">
                <a:latin typeface="Calibri"/>
                <a:cs typeface="Calibri"/>
              </a:rPr>
              <a:t> Race &amp; Ethnicity FY 2013 vs. FY 2014</a:t>
            </a:r>
          </a:p>
          <a:p>
            <a:pPr>
              <a:defRPr sz="1000">
                <a:latin typeface="Calibri"/>
                <a:cs typeface="Calibri"/>
              </a:defRPr>
            </a:pPr>
            <a:r>
              <a:rPr lang="en-US" sz="1000" baseline="0">
                <a:latin typeface="Calibri"/>
                <a:cs typeface="Calibri"/>
              </a:rPr>
              <a:t>(Excludes CC and EI Pay Plans)</a:t>
            </a:r>
            <a:endParaRPr lang="en-US" sz="1000">
              <a:latin typeface="Calibri"/>
              <a:cs typeface="Calibri"/>
            </a:endParaRPr>
          </a:p>
        </c:rich>
      </c:tx>
      <c:overlay val="0"/>
    </c:title>
    <c:autoTitleDeleted val="0"/>
    <c:plotArea>
      <c:layout>
        <c:manualLayout>
          <c:layoutTarget val="inner"/>
          <c:xMode val="edge"/>
          <c:yMode val="edge"/>
          <c:x val="0.10529089742390001"/>
          <c:y val="0.114613676722904"/>
          <c:w val="0.87914600127445897"/>
          <c:h val="0.60352038375065797"/>
        </c:manualLayout>
      </c:layout>
      <c:barChart>
        <c:barDir val="col"/>
        <c:grouping val="stacked"/>
        <c:varyColors val="0"/>
        <c:ser>
          <c:idx val="5"/>
          <c:order val="0"/>
          <c:tx>
            <c:strRef>
              <c:f>'[Chart in Microsoft Word]Temporary Seprations'!$A$80</c:f>
              <c:strCache>
                <c:ptCount val="1"/>
                <c:pt idx="0">
                  <c:v>UNKNOWN</c:v>
                </c:pt>
              </c:strCache>
            </c:strRef>
          </c:tx>
          <c:invertIfNegative val="0"/>
          <c:cat>
            <c:strRef>
              <c:f>'[Chart in Microsoft Word]Temporary Seprations'!$B$74:$C$74</c:f>
              <c:strCache>
                <c:ptCount val="2"/>
                <c:pt idx="0">
                  <c:v>2013 Temporary Separations</c:v>
                </c:pt>
                <c:pt idx="1">
                  <c:v>2014 Temporary Separations</c:v>
                </c:pt>
              </c:strCache>
            </c:strRef>
          </c:cat>
          <c:val>
            <c:numRef>
              <c:f>'[Chart in Microsoft Word]Temporary Seprations'!$B$80:$C$80</c:f>
              <c:numCache>
                <c:formatCode>0.0%</c:formatCode>
                <c:ptCount val="2"/>
                <c:pt idx="0">
                  <c:v>0</c:v>
                </c:pt>
                <c:pt idx="1">
                  <c:v>0</c:v>
                </c:pt>
              </c:numCache>
            </c:numRef>
          </c:val>
        </c:ser>
        <c:ser>
          <c:idx val="4"/>
          <c:order val="1"/>
          <c:tx>
            <c:strRef>
              <c:f>'[Chart in Microsoft Word]Temporary Seprations'!$A$79</c:f>
              <c:strCache>
                <c:ptCount val="1"/>
                <c:pt idx="0">
                  <c:v>AM-IND/ALASKA</c:v>
                </c:pt>
              </c:strCache>
            </c:strRef>
          </c:tx>
          <c:spPr>
            <a:solidFill>
              <a:srgbClr val="FFFF00"/>
            </a:solidFill>
          </c:spPr>
          <c:invertIfNegative val="0"/>
          <c:cat>
            <c:strRef>
              <c:f>'[Chart in Microsoft Word]Temporary Seprations'!$B$74:$C$74</c:f>
              <c:strCache>
                <c:ptCount val="2"/>
                <c:pt idx="0">
                  <c:v>2013 Temporary Separations</c:v>
                </c:pt>
                <c:pt idx="1">
                  <c:v>2014 Temporary Separations</c:v>
                </c:pt>
              </c:strCache>
            </c:strRef>
          </c:cat>
          <c:val>
            <c:numRef>
              <c:f>'[Chart in Microsoft Word]Temporary Seprations'!$B$79:$C$79</c:f>
              <c:numCache>
                <c:formatCode>0.0%</c:formatCode>
                <c:ptCount val="2"/>
                <c:pt idx="0">
                  <c:v>3.0000000000000001E-3</c:v>
                </c:pt>
                <c:pt idx="1">
                  <c:v>9.1999999999999998E-3</c:v>
                </c:pt>
              </c:numCache>
            </c:numRef>
          </c:val>
        </c:ser>
        <c:ser>
          <c:idx val="3"/>
          <c:order val="2"/>
          <c:tx>
            <c:strRef>
              <c:f>'[Chart in Microsoft Word]Temporary Seprations'!$A$78</c:f>
              <c:strCache>
                <c:ptCount val="1"/>
                <c:pt idx="0">
                  <c:v>ASIAN/PACIF 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Word]Temporary Seprations'!$B$74:$C$74</c:f>
              <c:strCache>
                <c:ptCount val="2"/>
                <c:pt idx="0">
                  <c:v>2013 Temporary Separations</c:v>
                </c:pt>
                <c:pt idx="1">
                  <c:v>2014 Temporary Separations</c:v>
                </c:pt>
              </c:strCache>
            </c:strRef>
          </c:cat>
          <c:val>
            <c:numRef>
              <c:f>'[Chart in Microsoft Word]Temporary Seprations'!$B$78:$C$78</c:f>
              <c:numCache>
                <c:formatCode>0.0%</c:formatCode>
                <c:ptCount val="2"/>
                <c:pt idx="0">
                  <c:v>0.317</c:v>
                </c:pt>
                <c:pt idx="1">
                  <c:v>0.308</c:v>
                </c:pt>
              </c:numCache>
            </c:numRef>
          </c:val>
        </c:ser>
        <c:ser>
          <c:idx val="2"/>
          <c:order val="3"/>
          <c:tx>
            <c:strRef>
              <c:f>'[Chart in Microsoft Word]Temporary Seprations'!$A$77</c:f>
              <c:strCache>
                <c:ptCount val="1"/>
                <c:pt idx="0">
                  <c:v>BLACK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Word]Temporary Seprations'!$B$74:$C$74</c:f>
              <c:strCache>
                <c:ptCount val="2"/>
                <c:pt idx="0">
                  <c:v>2013 Temporary Separations</c:v>
                </c:pt>
                <c:pt idx="1">
                  <c:v>2014 Temporary Separations</c:v>
                </c:pt>
              </c:strCache>
            </c:strRef>
          </c:cat>
          <c:val>
            <c:numRef>
              <c:f>'[Chart in Microsoft Word]Temporary Seprations'!$B$77:$C$77</c:f>
              <c:numCache>
                <c:formatCode>0.0%</c:formatCode>
                <c:ptCount val="2"/>
                <c:pt idx="0">
                  <c:v>0.115</c:v>
                </c:pt>
                <c:pt idx="1">
                  <c:v>9.8000000000000004E-2</c:v>
                </c:pt>
              </c:numCache>
            </c:numRef>
          </c:val>
        </c:ser>
        <c:ser>
          <c:idx val="1"/>
          <c:order val="4"/>
          <c:tx>
            <c:strRef>
              <c:f>'[Chart in Microsoft Word]Temporary Seprations'!$A$76</c:f>
              <c:strCache>
                <c:ptCount val="1"/>
                <c:pt idx="0">
                  <c:v>HISPANIC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Word]Temporary Seprations'!$B$74:$C$74</c:f>
              <c:strCache>
                <c:ptCount val="2"/>
                <c:pt idx="0">
                  <c:v>2013 Temporary Separations</c:v>
                </c:pt>
                <c:pt idx="1">
                  <c:v>2014 Temporary Separations</c:v>
                </c:pt>
              </c:strCache>
            </c:strRef>
          </c:cat>
          <c:val>
            <c:numRef>
              <c:f>'[Chart in Microsoft Word]Temporary Seprations'!$B$76:$C$76</c:f>
              <c:numCache>
                <c:formatCode>0.0%</c:formatCode>
                <c:ptCount val="2"/>
                <c:pt idx="0">
                  <c:v>2.1000000000000001E-2</c:v>
                </c:pt>
                <c:pt idx="1">
                  <c:v>2.3E-2</c:v>
                </c:pt>
              </c:numCache>
            </c:numRef>
          </c:val>
        </c:ser>
        <c:ser>
          <c:idx val="0"/>
          <c:order val="5"/>
          <c:tx>
            <c:strRef>
              <c:f>'[Chart in Microsoft Word]Temporary Seprations'!$A$75</c:f>
              <c:strCache>
                <c:ptCount val="1"/>
                <c:pt idx="0">
                  <c:v>WHITE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Word]Temporary Seprations'!$B$74:$C$74</c:f>
              <c:strCache>
                <c:ptCount val="2"/>
                <c:pt idx="0">
                  <c:v>2013 Temporary Separations</c:v>
                </c:pt>
                <c:pt idx="1">
                  <c:v>2014 Temporary Separations</c:v>
                </c:pt>
              </c:strCache>
            </c:strRef>
          </c:cat>
          <c:val>
            <c:numRef>
              <c:f>'[Chart in Microsoft Word]Temporary Seprations'!$B$75:$C$75</c:f>
              <c:numCache>
                <c:formatCode>0.0%</c:formatCode>
                <c:ptCount val="2"/>
                <c:pt idx="0">
                  <c:v>0.54400000000000004</c:v>
                </c:pt>
                <c:pt idx="1">
                  <c:v>0.56200000000000006</c:v>
                </c:pt>
              </c:numCache>
            </c:numRef>
          </c:val>
        </c:ser>
        <c:dLbls>
          <c:showLegendKey val="0"/>
          <c:showVal val="0"/>
          <c:showCatName val="0"/>
          <c:showSerName val="0"/>
          <c:showPercent val="0"/>
          <c:showBubbleSize val="0"/>
        </c:dLbls>
        <c:gapWidth val="150"/>
        <c:overlap val="100"/>
        <c:axId val="284140456"/>
        <c:axId val="284140848"/>
      </c:barChart>
      <c:catAx>
        <c:axId val="284140456"/>
        <c:scaling>
          <c:orientation val="minMax"/>
        </c:scaling>
        <c:delete val="0"/>
        <c:axPos val="b"/>
        <c:numFmt formatCode="General" sourceLinked="0"/>
        <c:majorTickMark val="none"/>
        <c:minorTickMark val="none"/>
        <c:tickLblPos val="nextTo"/>
        <c:crossAx val="284140848"/>
        <c:crosses val="autoZero"/>
        <c:auto val="1"/>
        <c:lblAlgn val="ctr"/>
        <c:lblOffset val="100"/>
        <c:noMultiLvlLbl val="0"/>
      </c:catAx>
      <c:valAx>
        <c:axId val="284140848"/>
        <c:scaling>
          <c:orientation val="minMax"/>
          <c:max val="1"/>
        </c:scaling>
        <c:delete val="0"/>
        <c:axPos val="l"/>
        <c:majorGridlines/>
        <c:numFmt formatCode="0.0%" sourceLinked="1"/>
        <c:majorTickMark val="none"/>
        <c:minorTickMark val="none"/>
        <c:tickLblPos val="nextTo"/>
        <c:crossAx val="28414045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NIH Total Permanent Separations Workforce by Disability Status as of 4th Q FY 2014 </a:t>
            </a:r>
          </a:p>
          <a:p>
            <a:pPr>
              <a:defRPr sz="900"/>
            </a:pPr>
            <a:r>
              <a:rPr lang="en-US" sz="900"/>
              <a:t>(Excludes CC and EI Pay Plans)</a:t>
            </a:r>
          </a:p>
        </c:rich>
      </c:tx>
      <c:layout>
        <c:manualLayout>
          <c:xMode val="edge"/>
          <c:yMode val="edge"/>
          <c:x val="0.16769209694299694"/>
          <c:y val="1.3151865950531019E-2"/>
        </c:manualLayout>
      </c:layout>
      <c:overlay val="0"/>
    </c:title>
    <c:autoTitleDeleted val="0"/>
    <c:plotArea>
      <c:layout/>
      <c:barChart>
        <c:barDir val="col"/>
        <c:grouping val="clustered"/>
        <c:varyColors val="0"/>
        <c:ser>
          <c:idx val="1"/>
          <c:order val="0"/>
          <c:tx>
            <c:v>FY 2013</c:v>
          </c:tx>
          <c:spPr>
            <a:solidFill>
              <a:schemeClr val="accent3"/>
            </a:solidFill>
          </c:spPr>
          <c:invertIfNegative val="0"/>
          <c:cat>
            <c:strRef>
              <c:f>'NIH Perm Sep  by Disa  '!$C$1:$G$1</c:f>
              <c:strCache>
                <c:ptCount val="5"/>
                <c:pt idx="0">
                  <c:v>
No
Disability</c:v>
                </c:pt>
                <c:pt idx="1">
                  <c:v>
Not
Identified</c:v>
                </c:pt>
                <c:pt idx="2">
                  <c:v>
All
Disability</c:v>
                </c:pt>
                <c:pt idx="3">
                  <c:v>
Targeted
Disability</c:v>
                </c:pt>
                <c:pt idx="4">
                  <c:v>Federal Goal for Targeted Disability</c:v>
                </c:pt>
              </c:strCache>
            </c:strRef>
          </c:cat>
          <c:val>
            <c:numRef>
              <c:f>'NIH Perm Sep  by Disa  '!$C$3:$G$3</c:f>
              <c:numCache>
                <c:formatCode>#,##0.0[$%-409]</c:formatCode>
                <c:ptCount val="5"/>
                <c:pt idx="0">
                  <c:v>80</c:v>
                </c:pt>
                <c:pt idx="1">
                  <c:v>8</c:v>
                </c:pt>
                <c:pt idx="2">
                  <c:v>12.4</c:v>
                </c:pt>
                <c:pt idx="3">
                  <c:v>2</c:v>
                </c:pt>
                <c:pt idx="4">
                  <c:v>2</c:v>
                </c:pt>
              </c:numCache>
            </c:numRef>
          </c:val>
        </c:ser>
        <c:ser>
          <c:idx val="3"/>
          <c:order val="1"/>
          <c:tx>
            <c:v>FY 2014</c:v>
          </c:tx>
          <c:spPr>
            <a:solidFill>
              <a:schemeClr val="accent1"/>
            </a:solidFill>
          </c:spPr>
          <c:invertIfNegative val="0"/>
          <c:cat>
            <c:strRef>
              <c:f>'NIH Perm Sep  by Disa  '!$C$1:$G$1</c:f>
              <c:strCache>
                <c:ptCount val="5"/>
                <c:pt idx="0">
                  <c:v>
No
Disability</c:v>
                </c:pt>
                <c:pt idx="1">
                  <c:v>
Not
Identified</c:v>
                </c:pt>
                <c:pt idx="2">
                  <c:v>
All
Disability</c:v>
                </c:pt>
                <c:pt idx="3">
                  <c:v>
Targeted
Disability</c:v>
                </c:pt>
                <c:pt idx="4">
                  <c:v>Federal Goal for Targeted Disability</c:v>
                </c:pt>
              </c:strCache>
            </c:strRef>
          </c:cat>
          <c:val>
            <c:numRef>
              <c:f>'NIH Perm Sep  by Disa  '!$C$5:$G$5</c:f>
              <c:numCache>
                <c:formatCode>#,##0.0[$%-409]</c:formatCode>
                <c:ptCount val="5"/>
                <c:pt idx="0">
                  <c:v>81.8</c:v>
                </c:pt>
                <c:pt idx="1">
                  <c:v>9</c:v>
                </c:pt>
                <c:pt idx="2">
                  <c:v>9.3000000000000007</c:v>
                </c:pt>
                <c:pt idx="3">
                  <c:v>1.3</c:v>
                </c:pt>
                <c:pt idx="4">
                  <c:v>2</c:v>
                </c:pt>
              </c:numCache>
            </c:numRef>
          </c:val>
        </c:ser>
        <c:dLbls>
          <c:showLegendKey val="0"/>
          <c:showVal val="0"/>
          <c:showCatName val="0"/>
          <c:showSerName val="0"/>
          <c:showPercent val="0"/>
          <c:showBubbleSize val="0"/>
        </c:dLbls>
        <c:gapWidth val="150"/>
        <c:axId val="284142024"/>
        <c:axId val="284142416"/>
      </c:barChart>
      <c:catAx>
        <c:axId val="284142024"/>
        <c:scaling>
          <c:orientation val="minMax"/>
        </c:scaling>
        <c:delete val="0"/>
        <c:axPos val="b"/>
        <c:numFmt formatCode="General" sourceLinked="1"/>
        <c:majorTickMark val="none"/>
        <c:minorTickMark val="none"/>
        <c:tickLblPos val="nextTo"/>
        <c:crossAx val="284142416"/>
        <c:crosses val="autoZero"/>
        <c:auto val="1"/>
        <c:lblAlgn val="ctr"/>
        <c:lblOffset val="100"/>
        <c:noMultiLvlLbl val="0"/>
      </c:catAx>
      <c:valAx>
        <c:axId val="284142416"/>
        <c:scaling>
          <c:orientation val="minMax"/>
        </c:scaling>
        <c:delete val="0"/>
        <c:axPos val="l"/>
        <c:numFmt formatCode="#,##0.0[$%-409]" sourceLinked="1"/>
        <c:majorTickMark val="none"/>
        <c:minorTickMark val="none"/>
        <c:tickLblPos val="nextTo"/>
        <c:crossAx val="28414202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NIH Total Temporary Separations by Disability Status as of 4th Q FY  2014 </a:t>
            </a:r>
          </a:p>
          <a:p>
            <a:pPr>
              <a:defRPr sz="900"/>
            </a:pPr>
            <a:r>
              <a:rPr lang="en-US" sz="900"/>
              <a:t>(Excludes CC and EI Pay Plans)</a:t>
            </a:r>
          </a:p>
        </c:rich>
      </c:tx>
      <c:layout>
        <c:manualLayout>
          <c:xMode val="edge"/>
          <c:yMode val="edge"/>
          <c:x val="0.16769209694299694"/>
          <c:y val="1.3151865950531019E-2"/>
        </c:manualLayout>
      </c:layout>
      <c:overlay val="0"/>
    </c:title>
    <c:autoTitleDeleted val="0"/>
    <c:plotArea>
      <c:layout/>
      <c:barChart>
        <c:barDir val="col"/>
        <c:grouping val="clustered"/>
        <c:varyColors val="0"/>
        <c:ser>
          <c:idx val="1"/>
          <c:order val="0"/>
          <c:tx>
            <c:v>FY 2013</c:v>
          </c:tx>
          <c:spPr>
            <a:solidFill>
              <a:schemeClr val="accent3"/>
            </a:solidFill>
          </c:spPr>
          <c:invertIfNegative val="0"/>
          <c:cat>
            <c:strRef>
              <c:f>'NIH Temp Sep  by Disa   '!$C$1:$G$1</c:f>
              <c:strCache>
                <c:ptCount val="5"/>
                <c:pt idx="0">
                  <c:v>
No
Disability</c:v>
                </c:pt>
                <c:pt idx="1">
                  <c:v>
Not
Identified</c:v>
                </c:pt>
                <c:pt idx="2">
                  <c:v>
All
Disability</c:v>
                </c:pt>
                <c:pt idx="3">
                  <c:v>
Targeted
Disability</c:v>
                </c:pt>
                <c:pt idx="4">
                  <c:v>Federal Goal for Targeted Disability</c:v>
                </c:pt>
              </c:strCache>
            </c:strRef>
          </c:cat>
          <c:val>
            <c:numRef>
              <c:f>'NIH Temp Sep  by Disa   '!$C$3:$G$3</c:f>
              <c:numCache>
                <c:formatCode>#,##0.0[$%-409]</c:formatCode>
                <c:ptCount val="5"/>
                <c:pt idx="0">
                  <c:v>94.5</c:v>
                </c:pt>
                <c:pt idx="1">
                  <c:v>1.7</c:v>
                </c:pt>
                <c:pt idx="2">
                  <c:v>3.8</c:v>
                </c:pt>
                <c:pt idx="3">
                  <c:v>0.4</c:v>
                </c:pt>
                <c:pt idx="4">
                  <c:v>2</c:v>
                </c:pt>
              </c:numCache>
            </c:numRef>
          </c:val>
        </c:ser>
        <c:ser>
          <c:idx val="3"/>
          <c:order val="1"/>
          <c:tx>
            <c:v>FY 2014</c:v>
          </c:tx>
          <c:spPr>
            <a:solidFill>
              <a:schemeClr val="accent1"/>
            </a:solidFill>
          </c:spPr>
          <c:invertIfNegative val="0"/>
          <c:cat>
            <c:strRef>
              <c:f>'NIH Temp Sep  by Disa   '!$C$1:$G$1</c:f>
              <c:strCache>
                <c:ptCount val="5"/>
                <c:pt idx="0">
                  <c:v>
No
Disability</c:v>
                </c:pt>
                <c:pt idx="1">
                  <c:v>
Not
Identified</c:v>
                </c:pt>
                <c:pt idx="2">
                  <c:v>
All
Disability</c:v>
                </c:pt>
                <c:pt idx="3">
                  <c:v>
Targeted
Disability</c:v>
                </c:pt>
                <c:pt idx="4">
                  <c:v>Federal Goal for Targeted Disability</c:v>
                </c:pt>
              </c:strCache>
            </c:strRef>
          </c:cat>
          <c:val>
            <c:numRef>
              <c:f>'NIH Temp Sep  by Disa   '!$C$5:$G$5</c:f>
              <c:numCache>
                <c:formatCode>#,##0.0[$%-409]</c:formatCode>
                <c:ptCount val="5"/>
                <c:pt idx="0">
                  <c:v>91.9</c:v>
                </c:pt>
                <c:pt idx="1">
                  <c:v>2.9</c:v>
                </c:pt>
                <c:pt idx="2">
                  <c:v>5.2</c:v>
                </c:pt>
                <c:pt idx="3">
                  <c:v>0.9</c:v>
                </c:pt>
                <c:pt idx="4">
                  <c:v>2</c:v>
                </c:pt>
              </c:numCache>
            </c:numRef>
          </c:val>
        </c:ser>
        <c:dLbls>
          <c:showLegendKey val="0"/>
          <c:showVal val="0"/>
          <c:showCatName val="0"/>
          <c:showSerName val="0"/>
          <c:showPercent val="0"/>
          <c:showBubbleSize val="0"/>
        </c:dLbls>
        <c:gapWidth val="150"/>
        <c:axId val="284143592"/>
        <c:axId val="284143984"/>
      </c:barChart>
      <c:catAx>
        <c:axId val="284143592"/>
        <c:scaling>
          <c:orientation val="minMax"/>
        </c:scaling>
        <c:delete val="0"/>
        <c:axPos val="b"/>
        <c:numFmt formatCode="General" sourceLinked="1"/>
        <c:majorTickMark val="none"/>
        <c:minorTickMark val="none"/>
        <c:tickLblPos val="nextTo"/>
        <c:crossAx val="284143984"/>
        <c:crosses val="autoZero"/>
        <c:auto val="1"/>
        <c:lblAlgn val="ctr"/>
        <c:lblOffset val="100"/>
        <c:noMultiLvlLbl val="0"/>
      </c:catAx>
      <c:valAx>
        <c:axId val="284143984"/>
        <c:scaling>
          <c:orientation val="minMax"/>
        </c:scaling>
        <c:delete val="0"/>
        <c:axPos val="l"/>
        <c:numFmt formatCode="#,##0.0[$%-409]" sourceLinked="1"/>
        <c:majorTickMark val="none"/>
        <c:minorTickMark val="none"/>
        <c:tickLblPos val="nextTo"/>
        <c:crossAx val="28414359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GS-13 Employees by Sex</a:t>
            </a:r>
          </a:p>
        </c:rich>
      </c:tx>
      <c:overlay val="0"/>
    </c:title>
    <c:autoTitleDeleted val="0"/>
    <c:plotArea>
      <c:layout/>
      <c:pieChart>
        <c:varyColors val="1"/>
        <c:ser>
          <c:idx val="13"/>
          <c:order val="0"/>
          <c:tx>
            <c:strRef>
              <c:f>'Pay Plans'!$N$20</c:f>
              <c:strCache>
                <c:ptCount val="1"/>
                <c:pt idx="0">
                  <c:v>G-13</c:v>
                </c:pt>
              </c:strCache>
            </c:strRef>
          </c:tx>
          <c:dLbls>
            <c:spPr>
              <a:noFill/>
              <a:ln>
                <a:noFill/>
              </a:ln>
              <a:effectLst/>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'Pay Plans'!$O$6:$P$6</c:f>
              <c:strCache>
                <c:ptCount val="2"/>
                <c:pt idx="0">
                  <c:v>Male</c:v>
                </c:pt>
                <c:pt idx="1">
                  <c:v>Female</c:v>
                </c:pt>
              </c:strCache>
            </c:strRef>
          </c:cat>
          <c:val>
            <c:numRef>
              <c:f>'Pay Plans'!$O$20:$P$20</c:f>
              <c:numCache>
                <c:formatCode>0.00%</c:formatCode>
                <c:ptCount val="2"/>
                <c:pt idx="0">
                  <c:v>0.33112363274776302</c:v>
                </c:pt>
                <c:pt idx="1">
                  <c:v>0.66887636725223698</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All NIH Workforce Compared to 2010 Civilian Labor</a:t>
            </a:r>
            <a:r>
              <a:rPr lang="en-US" baseline="0"/>
              <a:t> Force </a:t>
            </a:r>
            <a:r>
              <a:rPr lang="en-US"/>
              <a:t>as of 4thQ FY 2014</a:t>
            </a:r>
          </a:p>
          <a:p>
            <a:pPr>
              <a:defRPr/>
            </a:pPr>
            <a:r>
              <a:rPr lang="en-US"/>
              <a:t>(Excludes CC and EI Pay Plans)</a:t>
            </a:r>
          </a:p>
        </c:rich>
      </c:tx>
      <c:overlay val="0"/>
    </c:title>
    <c:autoTitleDeleted val="0"/>
    <c:plotArea>
      <c:layout/>
      <c:barChart>
        <c:barDir val="col"/>
        <c:grouping val="clustered"/>
        <c:varyColors val="0"/>
        <c:ser>
          <c:idx val="0"/>
          <c:order val="0"/>
          <c:tx>
            <c:v>% NIH</c:v>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Word]Overall Charts'!$E$10:$N$10</c:f>
              <c:strCache>
                <c:ptCount val="10"/>
                <c:pt idx="0">
                  <c:v>White Male</c:v>
                </c:pt>
                <c:pt idx="1">
                  <c:v>White Female</c:v>
                </c:pt>
                <c:pt idx="2">
                  <c:v> Black/African American Male</c:v>
                </c:pt>
                <c:pt idx="3">
                  <c:v>Black/African American Female</c:v>
                </c:pt>
                <c:pt idx="4">
                  <c:v>Hispanic or Latino Male</c:v>
                </c:pt>
                <c:pt idx="5">
                  <c:v>Hispanic or Latino Female</c:v>
                </c:pt>
                <c:pt idx="6">
                  <c:v>Asian Male</c:v>
                </c:pt>
                <c:pt idx="7">
                  <c:v>Asian Female</c:v>
                </c:pt>
                <c:pt idx="8">
                  <c:v>American Indian or Alaska Native Male</c:v>
                </c:pt>
                <c:pt idx="9">
                  <c:v>American Indian or Alaska Native Female</c:v>
                </c:pt>
              </c:strCache>
            </c:strRef>
          </c:cat>
          <c:val>
            <c:numRef>
              <c:f>'[Chart in Microsoft Word]Overall Charts'!$E$14:$N$14</c:f>
              <c:numCache>
                <c:formatCode>#,##0.0[$%-409]</c:formatCode>
                <c:ptCount val="10"/>
                <c:pt idx="0">
                  <c:v>26</c:v>
                </c:pt>
                <c:pt idx="1">
                  <c:v>32.72</c:v>
                </c:pt>
                <c:pt idx="2">
                  <c:v>6.0379655764015716</c:v>
                </c:pt>
                <c:pt idx="3">
                  <c:v>14.31733908904754</c:v>
                </c:pt>
                <c:pt idx="4">
                  <c:v>1.3393104211633184</c:v>
                </c:pt>
                <c:pt idx="5">
                  <c:v>1.6879738779124467</c:v>
                </c:pt>
                <c:pt idx="6">
                  <c:v>8.1742210415628982</c:v>
                </c:pt>
                <c:pt idx="7">
                  <c:v>9.1704023465604081</c:v>
                </c:pt>
                <c:pt idx="8">
                  <c:v>0.18816757983286295</c:v>
                </c:pt>
                <c:pt idx="9">
                  <c:v>0.36526647849908683</c:v>
                </c:pt>
              </c:numCache>
            </c:numRef>
          </c:val>
        </c:ser>
        <c:ser>
          <c:idx val="1"/>
          <c:order val="1"/>
          <c:tx>
            <c:v>% Civilian Labor Force</c:v>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Word]Overall Charts'!$E$10:$N$10</c:f>
              <c:strCache>
                <c:ptCount val="10"/>
                <c:pt idx="0">
                  <c:v>White Male</c:v>
                </c:pt>
                <c:pt idx="1">
                  <c:v>White Female</c:v>
                </c:pt>
                <c:pt idx="2">
                  <c:v> Black/African American Male</c:v>
                </c:pt>
                <c:pt idx="3">
                  <c:v>Black/African American Female</c:v>
                </c:pt>
                <c:pt idx="4">
                  <c:v>Hispanic or Latino Male</c:v>
                </c:pt>
                <c:pt idx="5">
                  <c:v>Hispanic or Latino Female</c:v>
                </c:pt>
                <c:pt idx="6">
                  <c:v>Asian Male</c:v>
                </c:pt>
                <c:pt idx="7">
                  <c:v>Asian Female</c:v>
                </c:pt>
                <c:pt idx="8">
                  <c:v>American Indian or Alaska Native Male</c:v>
                </c:pt>
                <c:pt idx="9">
                  <c:v>American Indian or Alaska Native Female</c:v>
                </c:pt>
              </c:strCache>
            </c:strRef>
          </c:cat>
          <c:val>
            <c:numRef>
              <c:f>'[Chart in Microsoft Word]Overall Charts'!$E$15:$N$15</c:f>
              <c:numCache>
                <c:formatCode>#,##0.0[$%-409]</c:formatCode>
                <c:ptCount val="10"/>
                <c:pt idx="0">
                  <c:v>38.33</c:v>
                </c:pt>
                <c:pt idx="1">
                  <c:v>34.03</c:v>
                </c:pt>
                <c:pt idx="2">
                  <c:v>5.49</c:v>
                </c:pt>
                <c:pt idx="3">
                  <c:v>6.53</c:v>
                </c:pt>
                <c:pt idx="4">
                  <c:v>5.17</c:v>
                </c:pt>
                <c:pt idx="5">
                  <c:v>4.79</c:v>
                </c:pt>
                <c:pt idx="6">
                  <c:v>1.97</c:v>
                </c:pt>
                <c:pt idx="7">
                  <c:v>1.93</c:v>
                </c:pt>
                <c:pt idx="8">
                  <c:v>0.55000000000000004</c:v>
                </c:pt>
                <c:pt idx="9">
                  <c:v>0.53</c:v>
                </c:pt>
              </c:numCache>
            </c:numRef>
          </c:val>
        </c:ser>
        <c:dLbls>
          <c:showLegendKey val="0"/>
          <c:showVal val="0"/>
          <c:showCatName val="0"/>
          <c:showSerName val="0"/>
          <c:showPercent val="0"/>
          <c:showBubbleSize val="0"/>
        </c:dLbls>
        <c:gapWidth val="150"/>
        <c:axId val="222946032"/>
        <c:axId val="222945640"/>
      </c:barChart>
      <c:catAx>
        <c:axId val="222946032"/>
        <c:scaling>
          <c:orientation val="minMax"/>
        </c:scaling>
        <c:delete val="0"/>
        <c:axPos val="b"/>
        <c:numFmt formatCode="General" sourceLinked="1"/>
        <c:majorTickMark val="none"/>
        <c:minorTickMark val="none"/>
        <c:tickLblPos val="nextTo"/>
        <c:crossAx val="222945640"/>
        <c:crosses val="autoZero"/>
        <c:auto val="1"/>
        <c:lblAlgn val="ctr"/>
        <c:lblOffset val="100"/>
        <c:noMultiLvlLbl val="0"/>
      </c:catAx>
      <c:valAx>
        <c:axId val="222945640"/>
        <c:scaling>
          <c:orientation val="minMax"/>
        </c:scaling>
        <c:delete val="0"/>
        <c:axPos val="l"/>
        <c:numFmt formatCode="#,##0.0[$%-409]" sourceLinked="1"/>
        <c:majorTickMark val="none"/>
        <c:minorTickMark val="none"/>
        <c:tickLblPos val="nextTo"/>
        <c:crossAx val="22294603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GS-14 Employees by Sex</a:t>
            </a:r>
          </a:p>
        </c:rich>
      </c:tx>
      <c:overlay val="0"/>
    </c:title>
    <c:autoTitleDeleted val="0"/>
    <c:plotArea>
      <c:layout/>
      <c:pieChart>
        <c:varyColors val="1"/>
        <c:ser>
          <c:idx val="14"/>
          <c:order val="0"/>
          <c:tx>
            <c:strRef>
              <c:f>'Pay Plans'!$N$21</c:f>
              <c:strCache>
                <c:ptCount val="1"/>
                <c:pt idx="0">
                  <c:v>G-14</c:v>
                </c:pt>
              </c:strCache>
            </c:strRef>
          </c:tx>
          <c:dLbls>
            <c:spPr>
              <a:noFill/>
              <a:ln>
                <a:noFill/>
              </a:ln>
              <a:effectLst/>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'Pay Plans'!$O$6:$P$6</c:f>
              <c:strCache>
                <c:ptCount val="2"/>
                <c:pt idx="0">
                  <c:v>Male</c:v>
                </c:pt>
                <c:pt idx="1">
                  <c:v>Female</c:v>
                </c:pt>
              </c:strCache>
            </c:strRef>
          </c:cat>
          <c:val>
            <c:numRef>
              <c:f>'Pay Plans'!$O$21:$P$21</c:f>
              <c:numCache>
                <c:formatCode>0.00%</c:formatCode>
                <c:ptCount val="2"/>
                <c:pt idx="0">
                  <c:v>0.40799366838147999</c:v>
                </c:pt>
                <c:pt idx="1">
                  <c:v>0.59200633161852001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GS-15 Employees by Sex</a:t>
            </a:r>
          </a:p>
        </c:rich>
      </c:tx>
      <c:overlay val="0"/>
    </c:title>
    <c:autoTitleDeleted val="0"/>
    <c:plotArea>
      <c:layout/>
      <c:pieChart>
        <c:varyColors val="1"/>
        <c:ser>
          <c:idx val="15"/>
          <c:order val="0"/>
          <c:tx>
            <c:strRef>
              <c:f>'Pay Plans'!$N$22</c:f>
              <c:strCache>
                <c:ptCount val="1"/>
                <c:pt idx="0">
                  <c:v>G-15</c:v>
                </c:pt>
              </c:strCache>
            </c:strRef>
          </c:tx>
          <c:dLbls>
            <c:spPr>
              <a:noFill/>
              <a:ln>
                <a:noFill/>
              </a:ln>
              <a:effectLst/>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'Pay Plans'!$O$6:$P$6</c:f>
              <c:strCache>
                <c:ptCount val="2"/>
                <c:pt idx="0">
                  <c:v>Male</c:v>
                </c:pt>
                <c:pt idx="1">
                  <c:v>Female</c:v>
                </c:pt>
              </c:strCache>
            </c:strRef>
          </c:cat>
          <c:val>
            <c:numRef>
              <c:f>'Pay Plans'!$O$22:$P$22</c:f>
              <c:numCache>
                <c:formatCode>0.00%</c:formatCode>
                <c:ptCount val="2"/>
                <c:pt idx="0">
                  <c:v>0.49690721649484498</c:v>
                </c:pt>
                <c:pt idx="1">
                  <c:v>0.50309278350515496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a:t>
            </a:r>
            <a:r>
              <a:rPr lang="en-US" sz="1200" baseline="0"/>
              <a:t> of </a:t>
            </a:r>
            <a:r>
              <a:rPr lang="en-US" sz="1200"/>
              <a:t>SES Employees by Sex</a:t>
            </a:r>
          </a:p>
        </c:rich>
      </c:tx>
      <c:overlay val="0"/>
    </c:title>
    <c:autoTitleDeleted val="0"/>
    <c:plotArea>
      <c:layout/>
      <c:pieChart>
        <c:varyColors val="1"/>
        <c:ser>
          <c:idx val="16"/>
          <c:order val="0"/>
          <c:tx>
            <c:strRef>
              <c:f>'Pay Plans'!$N$23</c:f>
              <c:strCache>
                <c:ptCount val="1"/>
                <c:pt idx="0">
                  <c:v>SES</c:v>
                </c:pt>
              </c:strCache>
            </c:strRef>
          </c:tx>
          <c:dLbls>
            <c:spPr>
              <a:noFill/>
              <a:ln>
                <a:noFill/>
              </a:ln>
              <a:effectLst/>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'Pay Plans'!$O$6:$P$6</c:f>
              <c:strCache>
                <c:ptCount val="2"/>
                <c:pt idx="0">
                  <c:v>Male</c:v>
                </c:pt>
                <c:pt idx="1">
                  <c:v>Female</c:v>
                </c:pt>
              </c:strCache>
            </c:strRef>
          </c:cat>
          <c:val>
            <c:numRef>
              <c:f>'Pay Plans'!$O$23:$P$23</c:f>
              <c:numCache>
                <c:formatCode>0.00%</c:formatCode>
                <c:ptCount val="2"/>
                <c:pt idx="0">
                  <c:v>0.40476190476190499</c:v>
                </c:pt>
                <c:pt idx="1">
                  <c:v>0.59523809523809501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AD Employees</a:t>
            </a:r>
            <a:r>
              <a:rPr lang="en-US" sz="1200" baseline="0"/>
              <a:t> by Sex</a:t>
            </a:r>
            <a:endParaRPr lang="en-US" sz="1200"/>
          </a:p>
        </c:rich>
      </c:tx>
      <c:overlay val="0"/>
    </c:title>
    <c:autoTitleDeleted val="0"/>
    <c:plotArea>
      <c:layout/>
      <c:pieChart>
        <c:varyColors val="1"/>
        <c:ser>
          <c:idx val="18"/>
          <c:order val="0"/>
          <c:tx>
            <c:strRef>
              <c:f>'Pay Plans'!$N$25</c:f>
              <c:strCache>
                <c:ptCount val="1"/>
                <c:pt idx="0">
                  <c:v>AD</c:v>
                </c:pt>
              </c:strCache>
            </c:strRef>
          </c:tx>
          <c:dLbls>
            <c:spPr>
              <a:noFill/>
              <a:ln>
                <a:noFill/>
              </a:ln>
              <a:effectLst/>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'Pay Plans'!$O$6:$P$6</c:f>
              <c:strCache>
                <c:ptCount val="2"/>
                <c:pt idx="0">
                  <c:v>Male</c:v>
                </c:pt>
                <c:pt idx="1">
                  <c:v>Female</c:v>
                </c:pt>
              </c:strCache>
            </c:strRef>
          </c:cat>
          <c:val>
            <c:numRef>
              <c:f>'Pay Plans'!$O$25:$P$25</c:f>
              <c:numCache>
                <c:formatCode>0.00%</c:formatCode>
                <c:ptCount val="2"/>
                <c:pt idx="0">
                  <c:v>0.585777126099707</c:v>
                </c:pt>
                <c:pt idx="1">
                  <c:v>0.414222873900293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GS-13 Employees by Race/Ethnicity</a:t>
            </a:r>
          </a:p>
        </c:rich>
      </c:tx>
      <c:overlay val="0"/>
    </c:title>
    <c:autoTitleDeleted val="0"/>
    <c:plotArea>
      <c:layout/>
      <c:barChart>
        <c:barDir val="col"/>
        <c:grouping val="clustered"/>
        <c:varyColors val="0"/>
        <c:ser>
          <c:idx val="12"/>
          <c:order val="0"/>
          <c:tx>
            <c:strRef>
              <c:f>'Pay Plans'!$AA$69</c:f>
              <c:strCache>
                <c:ptCount val="1"/>
                <c:pt idx="0">
                  <c:v>G-13</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Plans'!$AG$56:$AK$56</c:f>
              <c:strCache>
                <c:ptCount val="5"/>
                <c:pt idx="0">
                  <c:v>White %</c:v>
                </c:pt>
                <c:pt idx="1">
                  <c:v>Black or African American %</c:v>
                </c:pt>
                <c:pt idx="2">
                  <c:v>Hispanic or Latino %</c:v>
                </c:pt>
                <c:pt idx="3">
                  <c:v>Asian %</c:v>
                </c:pt>
                <c:pt idx="4">
                  <c:v>American Indian or Alaska Native %</c:v>
                </c:pt>
              </c:strCache>
            </c:strRef>
          </c:cat>
          <c:val>
            <c:numRef>
              <c:f>'Pay Plans'!$AG$69:$AK$69</c:f>
              <c:numCache>
                <c:formatCode>0.0%</c:formatCode>
                <c:ptCount val="5"/>
                <c:pt idx="0">
                  <c:v>0.62578720583360903</c:v>
                </c:pt>
                <c:pt idx="1">
                  <c:v>0.19920450778919499</c:v>
                </c:pt>
                <c:pt idx="2">
                  <c:v>3.1488233344381798E-2</c:v>
                </c:pt>
                <c:pt idx="3">
                  <c:v>0.13589658601259499</c:v>
                </c:pt>
                <c:pt idx="4">
                  <c:v>7.6234670202187599E-3</c:v>
                </c:pt>
              </c:numCache>
            </c:numRef>
          </c:val>
        </c:ser>
        <c:dLbls>
          <c:showLegendKey val="0"/>
          <c:showVal val="1"/>
          <c:showCatName val="0"/>
          <c:showSerName val="0"/>
          <c:showPercent val="0"/>
          <c:showBubbleSize val="0"/>
        </c:dLbls>
        <c:gapWidth val="150"/>
        <c:axId val="284147120"/>
        <c:axId val="284147512"/>
      </c:barChart>
      <c:catAx>
        <c:axId val="284147120"/>
        <c:scaling>
          <c:orientation val="minMax"/>
        </c:scaling>
        <c:delete val="0"/>
        <c:axPos val="b"/>
        <c:numFmt formatCode="General" sourceLinked="0"/>
        <c:majorTickMark val="out"/>
        <c:minorTickMark val="none"/>
        <c:tickLblPos val="nextTo"/>
        <c:txPr>
          <a:bodyPr/>
          <a:lstStyle/>
          <a:p>
            <a:pPr>
              <a:defRPr sz="800"/>
            </a:pPr>
            <a:endParaRPr lang="en-US"/>
          </a:p>
        </c:txPr>
        <c:crossAx val="284147512"/>
        <c:crosses val="autoZero"/>
        <c:auto val="1"/>
        <c:lblAlgn val="ctr"/>
        <c:lblOffset val="100"/>
        <c:noMultiLvlLbl val="0"/>
      </c:catAx>
      <c:valAx>
        <c:axId val="284147512"/>
        <c:scaling>
          <c:orientation val="minMax"/>
        </c:scaling>
        <c:delete val="0"/>
        <c:axPos val="l"/>
        <c:majorGridlines/>
        <c:numFmt formatCode="0.0%" sourceLinked="1"/>
        <c:majorTickMark val="out"/>
        <c:minorTickMark val="none"/>
        <c:tickLblPos val="nextTo"/>
        <c:txPr>
          <a:bodyPr/>
          <a:lstStyle/>
          <a:p>
            <a:pPr>
              <a:defRPr sz="800"/>
            </a:pPr>
            <a:endParaRPr lang="en-US"/>
          </a:p>
        </c:txPr>
        <c:crossAx val="28414712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GS-14 Employees by Race/Ethnicity</a:t>
            </a:r>
          </a:p>
        </c:rich>
      </c:tx>
      <c:overlay val="0"/>
    </c:title>
    <c:autoTitleDeleted val="0"/>
    <c:plotArea>
      <c:layout/>
      <c:barChart>
        <c:barDir val="col"/>
        <c:grouping val="clustered"/>
        <c:varyColors val="0"/>
        <c:ser>
          <c:idx val="13"/>
          <c:order val="0"/>
          <c:tx>
            <c:strRef>
              <c:f>'Pay Plans'!$AA$70</c:f>
              <c:strCache>
                <c:ptCount val="1"/>
                <c:pt idx="0">
                  <c:v>G-14</c:v>
                </c:pt>
              </c:strCache>
            </c:strRef>
          </c:tx>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Plans'!$AG$56:$AK$56</c:f>
              <c:strCache>
                <c:ptCount val="5"/>
                <c:pt idx="0">
                  <c:v>White %</c:v>
                </c:pt>
                <c:pt idx="1">
                  <c:v>Black or African American %</c:v>
                </c:pt>
                <c:pt idx="2">
                  <c:v>Hispanic or Latino %</c:v>
                </c:pt>
                <c:pt idx="3">
                  <c:v>Asian %</c:v>
                </c:pt>
                <c:pt idx="4">
                  <c:v>American Indian or Alaska Native %</c:v>
                </c:pt>
              </c:strCache>
            </c:strRef>
          </c:cat>
          <c:val>
            <c:numRef>
              <c:f>'Pay Plans'!$AG$70:$AK$70</c:f>
              <c:numCache>
                <c:formatCode>0.0%</c:formatCode>
                <c:ptCount val="5"/>
                <c:pt idx="0">
                  <c:v>0.69212504946577003</c:v>
                </c:pt>
                <c:pt idx="1">
                  <c:v>0.113573407202216</c:v>
                </c:pt>
                <c:pt idx="2">
                  <c:v>2.57222002374357E-2</c:v>
                </c:pt>
                <c:pt idx="3">
                  <c:v>0.16343490304709099</c:v>
                </c:pt>
                <c:pt idx="4">
                  <c:v>5.1444400474871402E-3</c:v>
                </c:pt>
              </c:numCache>
            </c:numRef>
          </c:val>
        </c:ser>
        <c:dLbls>
          <c:dLblPos val="inEnd"/>
          <c:showLegendKey val="0"/>
          <c:showVal val="1"/>
          <c:showCatName val="0"/>
          <c:showSerName val="0"/>
          <c:showPercent val="0"/>
          <c:showBubbleSize val="0"/>
        </c:dLbls>
        <c:gapWidth val="150"/>
        <c:axId val="284148688"/>
        <c:axId val="284149080"/>
      </c:barChart>
      <c:catAx>
        <c:axId val="284148688"/>
        <c:scaling>
          <c:orientation val="minMax"/>
        </c:scaling>
        <c:delete val="0"/>
        <c:axPos val="b"/>
        <c:numFmt formatCode="General" sourceLinked="0"/>
        <c:majorTickMark val="out"/>
        <c:minorTickMark val="none"/>
        <c:tickLblPos val="nextTo"/>
        <c:txPr>
          <a:bodyPr/>
          <a:lstStyle/>
          <a:p>
            <a:pPr>
              <a:defRPr sz="800"/>
            </a:pPr>
            <a:endParaRPr lang="en-US"/>
          </a:p>
        </c:txPr>
        <c:crossAx val="284149080"/>
        <c:crosses val="autoZero"/>
        <c:auto val="1"/>
        <c:lblAlgn val="ctr"/>
        <c:lblOffset val="100"/>
        <c:noMultiLvlLbl val="0"/>
      </c:catAx>
      <c:valAx>
        <c:axId val="284149080"/>
        <c:scaling>
          <c:orientation val="minMax"/>
        </c:scaling>
        <c:delete val="0"/>
        <c:axPos val="l"/>
        <c:majorGridlines/>
        <c:numFmt formatCode="0.0%" sourceLinked="1"/>
        <c:majorTickMark val="out"/>
        <c:minorTickMark val="none"/>
        <c:tickLblPos val="nextTo"/>
        <c:txPr>
          <a:bodyPr/>
          <a:lstStyle/>
          <a:p>
            <a:pPr>
              <a:defRPr sz="800"/>
            </a:pPr>
            <a:endParaRPr lang="en-US"/>
          </a:p>
        </c:txPr>
        <c:crossAx val="28414868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t>Participation of GS-15 Employees</a:t>
            </a:r>
            <a:r>
              <a:rPr lang="en-US" sz="1200" baseline="0"/>
              <a:t> by Race/Ethnicity </a:t>
            </a:r>
            <a:r>
              <a:rPr lang="en-US" sz="1200" b="1" i="0" baseline="0">
                <a:effectLst/>
              </a:rPr>
              <a:t>(excludes CC and EI Pay Plans)</a:t>
            </a:r>
            <a:endParaRPr lang="en-US" sz="1200">
              <a:effectLst/>
            </a:endParaRPr>
          </a:p>
        </c:rich>
      </c:tx>
      <c:overlay val="0"/>
    </c:title>
    <c:autoTitleDeleted val="0"/>
    <c:plotArea>
      <c:layout/>
      <c:barChart>
        <c:barDir val="col"/>
        <c:grouping val="clustered"/>
        <c:varyColors val="0"/>
        <c:ser>
          <c:idx val="14"/>
          <c:order val="0"/>
          <c:tx>
            <c:strRef>
              <c:f>'Pay Plans'!$AA$71</c:f>
              <c:strCache>
                <c:ptCount val="1"/>
                <c:pt idx="0">
                  <c:v>G-15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Plans'!$AG$56:$AK$56</c:f>
              <c:strCache>
                <c:ptCount val="5"/>
                <c:pt idx="0">
                  <c:v>White %</c:v>
                </c:pt>
                <c:pt idx="1">
                  <c:v>Black or African American %</c:v>
                </c:pt>
                <c:pt idx="2">
                  <c:v>Hispanic or Latino %</c:v>
                </c:pt>
                <c:pt idx="3">
                  <c:v>Asian %</c:v>
                </c:pt>
                <c:pt idx="4">
                  <c:v>American Indian or Alaska Native %</c:v>
                </c:pt>
              </c:strCache>
            </c:strRef>
          </c:cat>
          <c:val>
            <c:numRef>
              <c:f>'Pay Plans'!$AG$71:$AK$71</c:f>
              <c:numCache>
                <c:formatCode>0.0%</c:formatCode>
                <c:ptCount val="5"/>
                <c:pt idx="0">
                  <c:v>0.78694158075601395</c:v>
                </c:pt>
                <c:pt idx="1">
                  <c:v>6.7353951890034305E-2</c:v>
                </c:pt>
                <c:pt idx="2">
                  <c:v>3.1615120274914102E-2</c:v>
                </c:pt>
                <c:pt idx="3">
                  <c:v>0.11271477663230201</c:v>
                </c:pt>
                <c:pt idx="4">
                  <c:v>1.3745704467353901E-3</c:v>
                </c:pt>
              </c:numCache>
            </c:numRef>
          </c:val>
        </c:ser>
        <c:dLbls>
          <c:dLblPos val="inEnd"/>
          <c:showLegendKey val="0"/>
          <c:showVal val="1"/>
          <c:showCatName val="0"/>
          <c:showSerName val="0"/>
          <c:showPercent val="0"/>
          <c:showBubbleSize val="0"/>
        </c:dLbls>
        <c:gapWidth val="150"/>
        <c:axId val="284149864"/>
        <c:axId val="284150256"/>
      </c:barChart>
      <c:catAx>
        <c:axId val="284149864"/>
        <c:scaling>
          <c:orientation val="minMax"/>
        </c:scaling>
        <c:delete val="0"/>
        <c:axPos val="b"/>
        <c:numFmt formatCode="General" sourceLinked="0"/>
        <c:majorTickMark val="out"/>
        <c:minorTickMark val="none"/>
        <c:tickLblPos val="nextTo"/>
        <c:crossAx val="284150256"/>
        <c:crosses val="autoZero"/>
        <c:auto val="1"/>
        <c:lblAlgn val="ctr"/>
        <c:lblOffset val="100"/>
        <c:noMultiLvlLbl val="0"/>
      </c:catAx>
      <c:valAx>
        <c:axId val="284150256"/>
        <c:scaling>
          <c:orientation val="minMax"/>
        </c:scaling>
        <c:delete val="0"/>
        <c:axPos val="l"/>
        <c:majorGridlines/>
        <c:numFmt formatCode="0.0%" sourceLinked="1"/>
        <c:majorTickMark val="out"/>
        <c:minorTickMark val="none"/>
        <c:tickLblPos val="nextTo"/>
        <c:crossAx val="28414986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t>Participation of SES Employees by Race/Ethnicity </a:t>
            </a:r>
            <a:r>
              <a:rPr lang="en-US" sz="1200" b="1" i="0" baseline="0">
                <a:effectLst/>
              </a:rPr>
              <a:t>(excludes CC and EI Pay Plans)</a:t>
            </a:r>
            <a:endParaRPr lang="en-US" sz="1200">
              <a:effectLst/>
            </a:endParaRPr>
          </a:p>
        </c:rich>
      </c:tx>
      <c:overlay val="0"/>
    </c:title>
    <c:autoTitleDeleted val="0"/>
    <c:plotArea>
      <c:layout/>
      <c:barChart>
        <c:barDir val="col"/>
        <c:grouping val="clustered"/>
        <c:varyColors val="0"/>
        <c:ser>
          <c:idx val="15"/>
          <c:order val="0"/>
          <c:tx>
            <c:strRef>
              <c:f>'Pay Plans'!$AA$72</c:f>
              <c:strCache>
                <c:ptCount val="1"/>
                <c:pt idx="0">
                  <c:v>SES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Plans'!$AG$56:$AK$56</c:f>
              <c:strCache>
                <c:ptCount val="5"/>
                <c:pt idx="0">
                  <c:v>White %</c:v>
                </c:pt>
                <c:pt idx="1">
                  <c:v>Black or African American %</c:v>
                </c:pt>
                <c:pt idx="2">
                  <c:v>Hispanic or Latino %</c:v>
                </c:pt>
                <c:pt idx="3">
                  <c:v>Asian %</c:v>
                </c:pt>
                <c:pt idx="4">
                  <c:v>American Indian or Alaska Native %</c:v>
                </c:pt>
              </c:strCache>
            </c:strRef>
          </c:cat>
          <c:val>
            <c:numRef>
              <c:f>'Pay Plans'!$AG$72:$AK$72</c:f>
              <c:numCache>
                <c:formatCode>0.0%</c:formatCode>
                <c:ptCount val="5"/>
                <c:pt idx="0">
                  <c:v>0.76190476190476197</c:v>
                </c:pt>
                <c:pt idx="1">
                  <c:v>0.16666666666666699</c:v>
                </c:pt>
                <c:pt idx="2">
                  <c:v>0</c:v>
                </c:pt>
                <c:pt idx="3">
                  <c:v>7.1428571428571397E-2</c:v>
                </c:pt>
                <c:pt idx="4">
                  <c:v>0</c:v>
                </c:pt>
              </c:numCache>
            </c:numRef>
          </c:val>
        </c:ser>
        <c:dLbls>
          <c:dLblPos val="inEnd"/>
          <c:showLegendKey val="0"/>
          <c:showVal val="1"/>
          <c:showCatName val="0"/>
          <c:showSerName val="0"/>
          <c:showPercent val="0"/>
          <c:showBubbleSize val="0"/>
        </c:dLbls>
        <c:gapWidth val="150"/>
        <c:axId val="284151040"/>
        <c:axId val="284151432"/>
      </c:barChart>
      <c:catAx>
        <c:axId val="284151040"/>
        <c:scaling>
          <c:orientation val="minMax"/>
        </c:scaling>
        <c:delete val="0"/>
        <c:axPos val="b"/>
        <c:numFmt formatCode="General" sourceLinked="0"/>
        <c:majorTickMark val="out"/>
        <c:minorTickMark val="none"/>
        <c:tickLblPos val="nextTo"/>
        <c:crossAx val="284151432"/>
        <c:crosses val="autoZero"/>
        <c:auto val="1"/>
        <c:lblAlgn val="ctr"/>
        <c:lblOffset val="100"/>
        <c:noMultiLvlLbl val="0"/>
      </c:catAx>
      <c:valAx>
        <c:axId val="284151432"/>
        <c:scaling>
          <c:orientation val="minMax"/>
        </c:scaling>
        <c:delete val="0"/>
        <c:axPos val="l"/>
        <c:majorGridlines/>
        <c:numFmt formatCode="0.0%" sourceLinked="1"/>
        <c:majorTickMark val="out"/>
        <c:minorTickMark val="none"/>
        <c:tickLblPos val="nextTo"/>
        <c:crossAx val="284151040"/>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a:t>Participation of AD Employees by Race/Ethnicity </a:t>
            </a:r>
            <a:r>
              <a:rPr lang="en-US" sz="1200" b="1" i="0" baseline="0">
                <a:effectLst/>
              </a:rPr>
              <a:t>(excludes CC and EI Pay Plans)</a:t>
            </a:r>
            <a:endParaRPr lang="en-US" sz="1200">
              <a:effectLst/>
            </a:endParaRPr>
          </a:p>
        </c:rich>
      </c:tx>
      <c:overlay val="0"/>
    </c:title>
    <c:autoTitleDeleted val="0"/>
    <c:plotArea>
      <c:layout/>
      <c:barChart>
        <c:barDir val="col"/>
        <c:grouping val="clustered"/>
        <c:varyColors val="0"/>
        <c:ser>
          <c:idx val="17"/>
          <c:order val="0"/>
          <c:tx>
            <c:strRef>
              <c:f>'Pay Plans'!$AA$74</c:f>
              <c:strCache>
                <c:ptCount val="1"/>
                <c:pt idx="0">
                  <c:v>AD</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Plans'!$AG$56:$AK$56</c:f>
              <c:strCache>
                <c:ptCount val="5"/>
                <c:pt idx="0">
                  <c:v>White %</c:v>
                </c:pt>
                <c:pt idx="1">
                  <c:v>Black or African American %</c:v>
                </c:pt>
                <c:pt idx="2">
                  <c:v>Hispanic or Latino %</c:v>
                </c:pt>
                <c:pt idx="3">
                  <c:v>Asian %</c:v>
                </c:pt>
                <c:pt idx="4">
                  <c:v>American Indian or Alaska Native %</c:v>
                </c:pt>
              </c:strCache>
            </c:strRef>
          </c:cat>
          <c:val>
            <c:numRef>
              <c:f>'Pay Plans'!$AG$74:$AK$74</c:f>
              <c:numCache>
                <c:formatCode>0.0%</c:formatCode>
                <c:ptCount val="5"/>
                <c:pt idx="0">
                  <c:v>0.610703812316715</c:v>
                </c:pt>
                <c:pt idx="1">
                  <c:v>5.52297165200391E-2</c:v>
                </c:pt>
                <c:pt idx="2">
                  <c:v>3.0058651026393001E-2</c:v>
                </c:pt>
                <c:pt idx="3">
                  <c:v>0.301808406647116</c:v>
                </c:pt>
                <c:pt idx="4">
                  <c:v>2.1994134897360702E-3</c:v>
                </c:pt>
              </c:numCache>
            </c:numRef>
          </c:val>
        </c:ser>
        <c:dLbls>
          <c:dLblPos val="inEnd"/>
          <c:showLegendKey val="0"/>
          <c:showVal val="1"/>
          <c:showCatName val="0"/>
          <c:showSerName val="0"/>
          <c:showPercent val="0"/>
          <c:showBubbleSize val="0"/>
        </c:dLbls>
        <c:gapWidth val="150"/>
        <c:axId val="284152216"/>
        <c:axId val="284152608"/>
      </c:barChart>
      <c:catAx>
        <c:axId val="284152216"/>
        <c:scaling>
          <c:orientation val="minMax"/>
        </c:scaling>
        <c:delete val="0"/>
        <c:axPos val="b"/>
        <c:numFmt formatCode="General" sourceLinked="0"/>
        <c:majorTickMark val="out"/>
        <c:minorTickMark val="none"/>
        <c:tickLblPos val="nextTo"/>
        <c:crossAx val="284152608"/>
        <c:crosses val="autoZero"/>
        <c:auto val="1"/>
        <c:lblAlgn val="ctr"/>
        <c:lblOffset val="100"/>
        <c:noMultiLvlLbl val="0"/>
      </c:catAx>
      <c:valAx>
        <c:axId val="284152608"/>
        <c:scaling>
          <c:orientation val="minMax"/>
        </c:scaling>
        <c:delete val="0"/>
        <c:axPos val="l"/>
        <c:majorGridlines/>
        <c:numFmt formatCode="0.0%" sourceLinked="1"/>
        <c:majorTickMark val="out"/>
        <c:minorTickMark val="none"/>
        <c:tickLblPos val="nextTo"/>
        <c:crossAx val="284152216"/>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Participation of People with Targeted Disabilities in Selected Pay Plans (excludes</a:t>
            </a:r>
            <a:r>
              <a:rPr lang="en-US" sz="1200" baseline="0"/>
              <a:t> CC and EI Pay Plans)</a:t>
            </a:r>
            <a:endParaRPr lang="en-US" sz="1200"/>
          </a:p>
        </c:rich>
      </c:tx>
      <c:overlay val="0"/>
    </c:title>
    <c:autoTitleDeleted val="0"/>
    <c:plotArea>
      <c:layout/>
      <c:barChart>
        <c:barDir val="col"/>
        <c:grouping val="clustered"/>
        <c:varyColors val="0"/>
        <c:ser>
          <c:idx val="13"/>
          <c:order val="0"/>
          <c:tx>
            <c:strRef>
              <c:f>'Pay Plans'!$N$85</c:f>
              <c:strCache>
                <c:ptCount val="1"/>
                <c:pt idx="0">
                  <c:v>G-13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Plans'!$T$71</c:f>
              <c:strCache>
                <c:ptCount val="1"/>
                <c:pt idx="0">
                  <c:v>PWTD %</c:v>
                </c:pt>
              </c:strCache>
            </c:strRef>
          </c:cat>
          <c:val>
            <c:numRef>
              <c:f>'Pay Plans'!$T$85</c:f>
              <c:numCache>
                <c:formatCode>0.0%</c:formatCode>
                <c:ptCount val="1"/>
                <c:pt idx="0">
                  <c:v>7.2920119323831604E-3</c:v>
                </c:pt>
              </c:numCache>
            </c:numRef>
          </c:val>
        </c:ser>
        <c:ser>
          <c:idx val="14"/>
          <c:order val="1"/>
          <c:tx>
            <c:strRef>
              <c:f>'Pay Plans'!$N$86</c:f>
              <c:strCache>
                <c:ptCount val="1"/>
                <c:pt idx="0">
                  <c:v>G-14</c:v>
                </c:pt>
              </c:strCache>
            </c:strRef>
          </c:tx>
          <c:invertIfNegative val="0"/>
          <c:dLbls>
            <c:dLbl>
              <c:idx val="0"/>
              <c:layout>
                <c:manualLayout>
                  <c:x val="-9.1785222579164692E-3"/>
                  <c:y val="7.22222222222222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Plans'!$T$71</c:f>
              <c:strCache>
                <c:ptCount val="1"/>
                <c:pt idx="0">
                  <c:v>PWTD %</c:v>
                </c:pt>
              </c:strCache>
            </c:strRef>
          </c:cat>
          <c:val>
            <c:numRef>
              <c:f>'Pay Plans'!$T$86</c:f>
              <c:numCache>
                <c:formatCode>0.0%</c:formatCode>
                <c:ptCount val="1"/>
                <c:pt idx="0">
                  <c:v>7.5187969924812E-3</c:v>
                </c:pt>
              </c:numCache>
            </c:numRef>
          </c:val>
        </c:ser>
        <c:ser>
          <c:idx val="15"/>
          <c:order val="2"/>
          <c:tx>
            <c:strRef>
              <c:f>'Pay Plans'!$N$87</c:f>
              <c:strCache>
                <c:ptCount val="1"/>
                <c:pt idx="0">
                  <c:v>G-15</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Plans'!$T$71</c:f>
              <c:strCache>
                <c:ptCount val="1"/>
                <c:pt idx="0">
                  <c:v>PWTD %</c:v>
                </c:pt>
              </c:strCache>
            </c:strRef>
          </c:cat>
          <c:val>
            <c:numRef>
              <c:f>'Pay Plans'!$T$87</c:f>
              <c:numCache>
                <c:formatCode>0.0%</c:formatCode>
                <c:ptCount val="1"/>
                <c:pt idx="0">
                  <c:v>5.4982817869415803E-3</c:v>
                </c:pt>
              </c:numCache>
            </c:numRef>
          </c:val>
        </c:ser>
        <c:ser>
          <c:idx val="16"/>
          <c:order val="3"/>
          <c:tx>
            <c:strRef>
              <c:f>'Pay Plans'!$N$88</c:f>
              <c:strCache>
                <c:ptCount val="1"/>
                <c:pt idx="0">
                  <c:v>SES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Plans'!$T$71</c:f>
              <c:strCache>
                <c:ptCount val="1"/>
                <c:pt idx="0">
                  <c:v>PWTD %</c:v>
                </c:pt>
              </c:strCache>
            </c:strRef>
          </c:cat>
          <c:val>
            <c:numRef>
              <c:f>'Pay Plans'!$T$88</c:f>
              <c:numCache>
                <c:formatCode>0.0%</c:formatCode>
                <c:ptCount val="1"/>
                <c:pt idx="0">
                  <c:v>0</c:v>
                </c:pt>
              </c:numCache>
            </c:numRef>
          </c:val>
        </c:ser>
        <c:ser>
          <c:idx val="18"/>
          <c:order val="4"/>
          <c:tx>
            <c:strRef>
              <c:f>'Pay Plans'!$N$90</c:f>
              <c:strCache>
                <c:ptCount val="1"/>
                <c:pt idx="0">
                  <c:v>AD</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Plans'!$T$71</c:f>
              <c:strCache>
                <c:ptCount val="1"/>
                <c:pt idx="0">
                  <c:v>PWTD %</c:v>
                </c:pt>
              </c:strCache>
            </c:strRef>
          </c:cat>
          <c:val>
            <c:numRef>
              <c:f>'Pay Plans'!$T$90</c:f>
              <c:numCache>
                <c:formatCode>0.0%</c:formatCode>
                <c:ptCount val="1"/>
                <c:pt idx="0">
                  <c:v>3.17693059628543E-3</c:v>
                </c:pt>
              </c:numCache>
            </c:numRef>
          </c:val>
        </c:ser>
        <c:ser>
          <c:idx val="20"/>
          <c:order val="5"/>
          <c:tx>
            <c:strRef>
              <c:f>'Pay Plans'!$N$92</c:f>
              <c:strCache>
                <c:ptCount val="1"/>
                <c:pt idx="0">
                  <c:v>Total  NIH</c:v>
                </c:pt>
              </c:strCache>
            </c:strRef>
          </c:tx>
          <c:spPr>
            <a:solidFill>
              <a:srgbClr val="C0504D"/>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 Plans'!$T$71</c:f>
              <c:strCache>
                <c:ptCount val="1"/>
                <c:pt idx="0">
                  <c:v>PWTD %</c:v>
                </c:pt>
              </c:strCache>
            </c:strRef>
          </c:cat>
          <c:val>
            <c:numRef>
              <c:f>'Pay Plans'!$T$92</c:f>
              <c:numCache>
                <c:formatCode>0.0%</c:formatCode>
                <c:ptCount val="1"/>
                <c:pt idx="0">
                  <c:v>1.19648426424724E-2</c:v>
                </c:pt>
              </c:numCache>
            </c:numRef>
          </c:val>
        </c:ser>
        <c:dLbls>
          <c:dLblPos val="inEnd"/>
          <c:showLegendKey val="0"/>
          <c:showVal val="1"/>
          <c:showCatName val="0"/>
          <c:showSerName val="0"/>
          <c:showPercent val="0"/>
          <c:showBubbleSize val="0"/>
        </c:dLbls>
        <c:gapWidth val="150"/>
        <c:axId val="284153784"/>
        <c:axId val="285551176"/>
      </c:barChart>
      <c:catAx>
        <c:axId val="284153784"/>
        <c:scaling>
          <c:orientation val="minMax"/>
        </c:scaling>
        <c:delete val="1"/>
        <c:axPos val="b"/>
        <c:numFmt formatCode="General" sourceLinked="0"/>
        <c:majorTickMark val="out"/>
        <c:minorTickMark val="none"/>
        <c:tickLblPos val="nextTo"/>
        <c:crossAx val="285551176"/>
        <c:crosses val="autoZero"/>
        <c:auto val="1"/>
        <c:lblAlgn val="ctr"/>
        <c:lblOffset val="100"/>
        <c:noMultiLvlLbl val="0"/>
      </c:catAx>
      <c:valAx>
        <c:axId val="285551176"/>
        <c:scaling>
          <c:orientation val="minMax"/>
        </c:scaling>
        <c:delete val="0"/>
        <c:axPos val="l"/>
        <c:majorGridlines/>
        <c:numFmt formatCode="0.0%" sourceLinked="1"/>
        <c:majorTickMark val="out"/>
        <c:minorTickMark val="none"/>
        <c:tickLblPos val="nextTo"/>
        <c:crossAx val="284153784"/>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mj-lt"/>
              </a:rPr>
              <a:t>All NIH Workforce Net Change</a:t>
            </a:r>
            <a:r>
              <a:rPr lang="en-US" sz="1000" baseline="0">
                <a:latin typeface="+mj-lt"/>
              </a:rPr>
              <a:t> by Race/Ethnicity and</a:t>
            </a:r>
            <a:r>
              <a:rPr lang="en-US" sz="1000">
                <a:latin typeface="+mj-lt"/>
              </a:rPr>
              <a:t> Sex as of 4thQ FY2014</a:t>
            </a:r>
          </a:p>
          <a:p>
            <a:pPr>
              <a:defRPr/>
            </a:pPr>
            <a:r>
              <a:rPr lang="en-US" sz="1000">
                <a:latin typeface="+mj-lt"/>
              </a:rPr>
              <a:t>(Excludes CC and EI Pay Plans)</a:t>
            </a:r>
          </a:p>
        </c:rich>
      </c:tx>
      <c:layout>
        <c:manualLayout>
          <c:xMode val="edge"/>
          <c:yMode val="edge"/>
          <c:x val="0.19444444444444445"/>
          <c:y val="0"/>
        </c:manualLayout>
      </c:layout>
      <c:overlay val="0"/>
    </c:title>
    <c:autoTitleDeleted val="0"/>
    <c:plotArea>
      <c:layout>
        <c:manualLayout>
          <c:layoutTarget val="inner"/>
          <c:xMode val="edge"/>
          <c:yMode val="edge"/>
          <c:x val="9.2244807147450897E-2"/>
          <c:y val="0.18504792332268399"/>
          <c:w val="0.88832914428742804"/>
          <c:h val="0.54866141732283502"/>
        </c:manualLayout>
      </c:layout>
      <c:barChart>
        <c:barDir val="col"/>
        <c:grouping val="clustered"/>
        <c:varyColors val="0"/>
        <c:ser>
          <c:idx val="0"/>
          <c:order val="0"/>
          <c:tx>
            <c:v>% Change from FY13</c:v>
          </c:tx>
          <c:invertIfNegative val="0"/>
          <c:dPt>
            <c:idx val="0"/>
            <c:invertIfNegative val="0"/>
            <c:bubble3D val="0"/>
            <c:spPr>
              <a:solidFill>
                <a:schemeClr val="accent2">
                  <a:lumMod val="40000"/>
                  <a:lumOff val="60000"/>
                </a:schemeClr>
              </a:solidFill>
            </c:spPr>
          </c:dPt>
          <c:dPt>
            <c:idx val="1"/>
            <c:invertIfNegative val="0"/>
            <c:bubble3D val="0"/>
            <c:spPr>
              <a:solidFill>
                <a:schemeClr val="accent2">
                  <a:lumMod val="40000"/>
                  <a:lumOff val="60000"/>
                </a:schemeClr>
              </a:solidFill>
            </c:spPr>
          </c:dPt>
          <c:dPt>
            <c:idx val="2"/>
            <c:invertIfNegative val="0"/>
            <c:bubble3D val="0"/>
            <c:spPr>
              <a:solidFill>
                <a:schemeClr val="accent2">
                  <a:lumMod val="40000"/>
                  <a:lumOff val="60000"/>
                </a:schemeClr>
              </a:solidFill>
            </c:spPr>
          </c:dPt>
          <c:dPt>
            <c:idx val="5"/>
            <c:invertIfNegative val="0"/>
            <c:bubble3D val="0"/>
            <c:spPr>
              <a:solidFill>
                <a:schemeClr val="accent2">
                  <a:lumMod val="40000"/>
                  <a:lumOff val="60000"/>
                </a:schemeClr>
              </a:solidFill>
            </c:spPr>
          </c:dPt>
          <c:dLbls>
            <c:dLbl>
              <c:idx val="2"/>
              <c:layout>
                <c:manualLayout>
                  <c:x val="-1.7661434704767901E-3"/>
                  <c:y val="8.0938173463141305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'Overall Charts'!$E$10:$N$10</c:f>
              <c:strCache>
                <c:ptCount val="10"/>
                <c:pt idx="0">
                  <c:v>White Male</c:v>
                </c:pt>
                <c:pt idx="1">
                  <c:v>White Female</c:v>
                </c:pt>
                <c:pt idx="2">
                  <c:v> Black/African American Male</c:v>
                </c:pt>
                <c:pt idx="3">
                  <c:v>Black/African American Female</c:v>
                </c:pt>
                <c:pt idx="4">
                  <c:v>Hispanic or Latino Male</c:v>
                </c:pt>
                <c:pt idx="5">
                  <c:v>Hispanic or Latino Female</c:v>
                </c:pt>
                <c:pt idx="6">
                  <c:v>Asian Male</c:v>
                </c:pt>
                <c:pt idx="7">
                  <c:v>Asian Female</c:v>
                </c:pt>
                <c:pt idx="8">
                  <c:v>American Indian or Alaska Native Male</c:v>
                </c:pt>
                <c:pt idx="9">
                  <c:v>American Indian or Alaska Native Female</c:v>
                </c:pt>
              </c:strCache>
            </c:strRef>
          </c:cat>
          <c:val>
            <c:numRef>
              <c:f>'Overall Charts'!$E$18:$N$18</c:f>
              <c:numCache>
                <c:formatCode>#,##0.0[$%-409]</c:formatCode>
                <c:ptCount val="10"/>
                <c:pt idx="0">
                  <c:v>-2.33</c:v>
                </c:pt>
                <c:pt idx="1">
                  <c:v>-1.75</c:v>
                </c:pt>
                <c:pt idx="2">
                  <c:v>-3.71</c:v>
                </c:pt>
                <c:pt idx="3">
                  <c:v>-1.26</c:v>
                </c:pt>
                <c:pt idx="4">
                  <c:v>0.41</c:v>
                </c:pt>
                <c:pt idx="5">
                  <c:v>-2.56</c:v>
                </c:pt>
                <c:pt idx="6">
                  <c:v>-1.2</c:v>
                </c:pt>
                <c:pt idx="7">
                  <c:v>0.85</c:v>
                </c:pt>
                <c:pt idx="8">
                  <c:v>0</c:v>
                </c:pt>
                <c:pt idx="9">
                  <c:v>0</c:v>
                </c:pt>
              </c:numCache>
            </c:numRef>
          </c:val>
        </c:ser>
        <c:dLbls>
          <c:showLegendKey val="0"/>
          <c:showVal val="0"/>
          <c:showCatName val="0"/>
          <c:showSerName val="0"/>
          <c:showPercent val="0"/>
          <c:showBubbleSize val="0"/>
        </c:dLbls>
        <c:gapWidth val="150"/>
        <c:axId val="147147712"/>
        <c:axId val="279357776"/>
      </c:barChart>
      <c:catAx>
        <c:axId val="147147712"/>
        <c:scaling>
          <c:orientation val="minMax"/>
        </c:scaling>
        <c:delete val="0"/>
        <c:axPos val="b"/>
        <c:numFmt formatCode="General" sourceLinked="1"/>
        <c:majorTickMark val="none"/>
        <c:minorTickMark val="none"/>
        <c:tickLblPos val="nextTo"/>
        <c:crossAx val="279357776"/>
        <c:crosses val="autoZero"/>
        <c:auto val="1"/>
        <c:lblAlgn val="ctr"/>
        <c:lblOffset val="100"/>
        <c:noMultiLvlLbl val="0"/>
      </c:catAx>
      <c:valAx>
        <c:axId val="279357776"/>
        <c:scaling>
          <c:orientation val="minMax"/>
        </c:scaling>
        <c:delete val="0"/>
        <c:axPos val="l"/>
        <c:numFmt formatCode="#,##0.0[$%-409]" sourceLinked="1"/>
        <c:majorTickMark val="none"/>
        <c:minorTickMark val="none"/>
        <c:tickLblPos val="nextTo"/>
        <c:crossAx val="14714771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Participation</a:t>
            </a:r>
            <a:r>
              <a:rPr lang="en-US" sz="1200" baseline="0"/>
              <a:t> Rates for Permanent Tenure Men and Women in Management Positions</a:t>
            </a:r>
          </a:p>
          <a:p>
            <a:pPr>
              <a:defRPr/>
            </a:pPr>
            <a:r>
              <a:rPr lang="en-US" sz="1200" baseline="0"/>
              <a:t>(Excludes CC and EI Pay Plans) </a:t>
            </a:r>
            <a:endParaRPr lang="en-US" sz="1200"/>
          </a:p>
        </c:rich>
      </c:tx>
      <c:overlay val="0"/>
    </c:title>
    <c:autoTitleDeleted val="0"/>
    <c:plotArea>
      <c:layout/>
      <c:barChart>
        <c:barDir val="col"/>
        <c:grouping val="percentStacked"/>
        <c:varyColors val="0"/>
        <c:ser>
          <c:idx val="0"/>
          <c:order val="0"/>
          <c:tx>
            <c:strRef>
              <c:f>'Officials and Managers'!$O$105</c:f>
              <c:strCache>
                <c:ptCount val="1"/>
                <c:pt idx="0">
                  <c:v>Male</c:v>
                </c:pt>
              </c:strCache>
            </c:strRef>
          </c:tx>
          <c:invertIfNegative val="0"/>
          <c:dPt>
            <c:idx val="0"/>
            <c:invertIfNegative val="0"/>
            <c:bubble3D val="0"/>
            <c:spPr>
              <a:solidFill>
                <a:schemeClr val="accent1"/>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Managers'!$N$106:$N$110</c:f>
              <c:strCache>
                <c:ptCount val="5"/>
                <c:pt idx="0">
                  <c:v>NIH Total Workforce (Perm Only)</c:v>
                </c:pt>
                <c:pt idx="1">
                  <c:v>SUP Executive/Senior Level </c:v>
                </c:pt>
                <c:pt idx="2">
                  <c:v>SUP Mid-Level </c:v>
                </c:pt>
                <c:pt idx="3">
                  <c:v>SUP First-Level </c:v>
                </c:pt>
                <c:pt idx="4">
                  <c:v>Other Officials and Managers </c:v>
                </c:pt>
              </c:strCache>
            </c:strRef>
          </c:cat>
          <c:val>
            <c:numRef>
              <c:f>'Officials and Managers'!$O$106:$O$110</c:f>
              <c:numCache>
                <c:formatCode>0.0%</c:formatCode>
                <c:ptCount val="5"/>
                <c:pt idx="0">
                  <c:v>0.36799999999999999</c:v>
                </c:pt>
                <c:pt idx="1">
                  <c:v>0.51100000000000001</c:v>
                </c:pt>
                <c:pt idx="2">
                  <c:v>0.377</c:v>
                </c:pt>
                <c:pt idx="3">
                  <c:v>0.628</c:v>
                </c:pt>
                <c:pt idx="4">
                  <c:v>0.25600000000000001</c:v>
                </c:pt>
              </c:numCache>
            </c:numRef>
          </c:val>
        </c:ser>
        <c:ser>
          <c:idx val="1"/>
          <c:order val="1"/>
          <c:tx>
            <c:strRef>
              <c:f>'Officials and Managers'!$P$105</c:f>
              <c:strCache>
                <c:ptCount val="1"/>
                <c:pt idx="0">
                  <c:v>Female</c:v>
                </c:pt>
              </c:strCache>
            </c:strRef>
          </c:tx>
          <c:invertIfNegative val="0"/>
          <c:dPt>
            <c:idx val="0"/>
            <c:invertIfNegative val="0"/>
            <c:bubble3D val="0"/>
            <c:spPr>
              <a:solidFill>
                <a:srgbClr val="C0504D"/>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Managers'!$N$106:$N$110</c:f>
              <c:strCache>
                <c:ptCount val="5"/>
                <c:pt idx="0">
                  <c:v>NIH Total Workforce (Perm Only)</c:v>
                </c:pt>
                <c:pt idx="1">
                  <c:v>SUP Executive/Senior Level </c:v>
                </c:pt>
                <c:pt idx="2">
                  <c:v>SUP Mid-Level </c:v>
                </c:pt>
                <c:pt idx="3">
                  <c:v>SUP First-Level </c:v>
                </c:pt>
                <c:pt idx="4">
                  <c:v>Other Officials and Managers </c:v>
                </c:pt>
              </c:strCache>
            </c:strRef>
          </c:cat>
          <c:val>
            <c:numRef>
              <c:f>'Officials and Managers'!$P$106:$P$110</c:f>
              <c:numCache>
                <c:formatCode>0.0%</c:formatCode>
                <c:ptCount val="5"/>
                <c:pt idx="0">
                  <c:v>0.63200000000000001</c:v>
                </c:pt>
                <c:pt idx="1">
                  <c:v>0.48899999999999999</c:v>
                </c:pt>
                <c:pt idx="2">
                  <c:v>0.623</c:v>
                </c:pt>
                <c:pt idx="3">
                  <c:v>0.372</c:v>
                </c:pt>
                <c:pt idx="4">
                  <c:v>0.74399999999999999</c:v>
                </c:pt>
              </c:numCache>
            </c:numRef>
          </c:val>
        </c:ser>
        <c:dLbls>
          <c:showLegendKey val="0"/>
          <c:showVal val="1"/>
          <c:showCatName val="0"/>
          <c:showSerName val="0"/>
          <c:showPercent val="0"/>
          <c:showBubbleSize val="0"/>
        </c:dLbls>
        <c:gapWidth val="150"/>
        <c:overlap val="100"/>
        <c:axId val="285551960"/>
        <c:axId val="285552352"/>
      </c:barChart>
      <c:catAx>
        <c:axId val="285551960"/>
        <c:scaling>
          <c:orientation val="minMax"/>
        </c:scaling>
        <c:delete val="0"/>
        <c:axPos val="b"/>
        <c:numFmt formatCode="General" sourceLinked="0"/>
        <c:majorTickMark val="out"/>
        <c:minorTickMark val="none"/>
        <c:tickLblPos val="nextTo"/>
        <c:crossAx val="285552352"/>
        <c:crosses val="autoZero"/>
        <c:auto val="1"/>
        <c:lblAlgn val="ctr"/>
        <c:lblOffset val="100"/>
        <c:noMultiLvlLbl val="0"/>
      </c:catAx>
      <c:valAx>
        <c:axId val="285552352"/>
        <c:scaling>
          <c:orientation val="minMax"/>
        </c:scaling>
        <c:delete val="0"/>
        <c:axPos val="l"/>
        <c:majorGridlines/>
        <c:numFmt formatCode="0%" sourceLinked="1"/>
        <c:majorTickMark val="out"/>
        <c:minorTickMark val="none"/>
        <c:tickLblPos val="nextTo"/>
        <c:crossAx val="285551960"/>
        <c:crosses val="autoZero"/>
        <c:crossBetween val="between"/>
      </c:valAx>
    </c:plotArea>
    <c:legend>
      <c:legendPos val="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Participation Rates for Permanent Tenure Hispanics</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in Management Positions  (Excludes CC and EI Pay Plans) </a:t>
            </a:r>
            <a:endParaRPr lang="en-US" sz="1200">
              <a:effectLst/>
            </a:endParaRPr>
          </a:p>
        </c:rich>
      </c:tx>
      <c:overlay val="0"/>
    </c:title>
    <c:autoTitleDeleted val="0"/>
    <c:plotArea>
      <c:layout/>
      <c:barChart>
        <c:barDir val="col"/>
        <c:grouping val="clustered"/>
        <c:varyColors val="0"/>
        <c:ser>
          <c:idx val="2"/>
          <c:order val="0"/>
          <c:tx>
            <c:strRef>
              <c:f>'Officials and Managers'!$M$12</c:f>
              <c:strCache>
                <c:ptCount val="1"/>
                <c:pt idx="0">
                  <c:v>Hispanic</c:v>
                </c:pt>
              </c:strCache>
            </c:strRef>
          </c:tx>
          <c:invertIfNegative val="0"/>
          <c:dPt>
            <c:idx val="0"/>
            <c:invertIfNegative val="0"/>
            <c:bubble3D val="0"/>
            <c:spPr>
              <a:solidFill>
                <a:srgbClr val="C0504D"/>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Managers'!$J$13:$J$17</c:f>
              <c:strCache>
                <c:ptCount val="5"/>
                <c:pt idx="0">
                  <c:v>NIH Total Workforce (Permanent)</c:v>
                </c:pt>
                <c:pt idx="1">
                  <c:v>SUP Executive/Senior Level </c:v>
                </c:pt>
                <c:pt idx="2">
                  <c:v>SUP Mid-Level </c:v>
                </c:pt>
                <c:pt idx="3">
                  <c:v>SUP First-Level </c:v>
                </c:pt>
                <c:pt idx="4">
                  <c:v>Other Officials and Managers </c:v>
                </c:pt>
              </c:strCache>
            </c:strRef>
          </c:cat>
          <c:val>
            <c:numRef>
              <c:f>'Officials and Managers'!$M$13:$M$17</c:f>
              <c:numCache>
                <c:formatCode>0.0%</c:formatCode>
                <c:ptCount val="5"/>
                <c:pt idx="0">
                  <c:v>0.03</c:v>
                </c:pt>
                <c:pt idx="1">
                  <c:v>2.3800000000000002E-2</c:v>
                </c:pt>
                <c:pt idx="2">
                  <c:v>1.89E-2</c:v>
                </c:pt>
                <c:pt idx="3">
                  <c:v>1.2800000000000001E-2</c:v>
                </c:pt>
                <c:pt idx="4">
                  <c:v>3.5000000000000003E-2</c:v>
                </c:pt>
              </c:numCache>
            </c:numRef>
          </c:val>
        </c:ser>
        <c:dLbls>
          <c:showLegendKey val="0"/>
          <c:showVal val="1"/>
          <c:showCatName val="0"/>
          <c:showSerName val="0"/>
          <c:showPercent val="0"/>
          <c:showBubbleSize val="0"/>
        </c:dLbls>
        <c:gapWidth val="150"/>
        <c:axId val="285553136"/>
        <c:axId val="285553528"/>
      </c:barChart>
      <c:catAx>
        <c:axId val="285553136"/>
        <c:scaling>
          <c:orientation val="minMax"/>
        </c:scaling>
        <c:delete val="0"/>
        <c:axPos val="b"/>
        <c:numFmt formatCode="General" sourceLinked="0"/>
        <c:majorTickMark val="out"/>
        <c:minorTickMark val="none"/>
        <c:tickLblPos val="nextTo"/>
        <c:crossAx val="285553528"/>
        <c:crosses val="autoZero"/>
        <c:auto val="1"/>
        <c:lblAlgn val="ctr"/>
        <c:lblOffset val="100"/>
        <c:noMultiLvlLbl val="0"/>
      </c:catAx>
      <c:valAx>
        <c:axId val="285553528"/>
        <c:scaling>
          <c:orientation val="minMax"/>
        </c:scaling>
        <c:delete val="0"/>
        <c:axPos val="l"/>
        <c:majorGridlines/>
        <c:numFmt formatCode="0.0%" sourceLinked="1"/>
        <c:majorTickMark val="out"/>
        <c:minorTickMark val="none"/>
        <c:tickLblPos val="nextTo"/>
        <c:crossAx val="285553136"/>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Participation Rates for Permenanent Tenure AI/AN's</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in Management Positions (Excludes CC and EI Pay Plans)  </a:t>
            </a:r>
            <a:endParaRPr lang="en-US" sz="1200">
              <a:effectLst/>
            </a:endParaRPr>
          </a:p>
        </c:rich>
      </c:tx>
      <c:overlay val="0"/>
    </c:title>
    <c:autoTitleDeleted val="0"/>
    <c:plotArea>
      <c:layout/>
      <c:barChart>
        <c:barDir val="col"/>
        <c:grouping val="clustered"/>
        <c:varyColors val="0"/>
        <c:ser>
          <c:idx val="4"/>
          <c:order val="0"/>
          <c:tx>
            <c:strRef>
              <c:f>'Officials and Managers'!$O$12</c:f>
              <c:strCache>
                <c:ptCount val="1"/>
                <c:pt idx="0">
                  <c:v>AI/AN</c:v>
                </c:pt>
              </c:strCache>
            </c:strRef>
          </c:tx>
          <c:invertIfNegative val="0"/>
          <c:dPt>
            <c:idx val="0"/>
            <c:invertIfNegative val="0"/>
            <c:bubble3D val="0"/>
            <c:spPr>
              <a:solidFill>
                <a:srgbClr val="C0504D"/>
              </a:solidFill>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Managers'!$J$13:$J$17</c:f>
              <c:strCache>
                <c:ptCount val="5"/>
                <c:pt idx="0">
                  <c:v>NIH Total Workforce (Permanent)</c:v>
                </c:pt>
                <c:pt idx="1">
                  <c:v>SUP Executive/Senior Level </c:v>
                </c:pt>
                <c:pt idx="2">
                  <c:v>SUP Mid-Level </c:v>
                </c:pt>
                <c:pt idx="3">
                  <c:v>SUP First-Level </c:v>
                </c:pt>
                <c:pt idx="4">
                  <c:v>Other Officials and Managers </c:v>
                </c:pt>
              </c:strCache>
            </c:strRef>
          </c:cat>
          <c:val>
            <c:numRef>
              <c:f>'Officials and Managers'!$O$13:$O$17</c:f>
              <c:numCache>
                <c:formatCode>0.0%</c:formatCode>
                <c:ptCount val="5"/>
                <c:pt idx="0">
                  <c:v>7.0000000000000001E-3</c:v>
                </c:pt>
                <c:pt idx="1">
                  <c:v>3.0000000000000001E-3</c:v>
                </c:pt>
                <c:pt idx="2">
                  <c:v>5.7000000000000002E-3</c:v>
                </c:pt>
                <c:pt idx="3">
                  <c:v>1.2800000000000001E-2</c:v>
                </c:pt>
                <c:pt idx="4">
                  <c:v>8.6E-3</c:v>
                </c:pt>
              </c:numCache>
            </c:numRef>
          </c:val>
        </c:ser>
        <c:dLbls>
          <c:dLblPos val="inEnd"/>
          <c:showLegendKey val="0"/>
          <c:showVal val="1"/>
          <c:showCatName val="0"/>
          <c:showSerName val="0"/>
          <c:showPercent val="0"/>
          <c:showBubbleSize val="0"/>
        </c:dLbls>
        <c:gapWidth val="150"/>
        <c:axId val="285554312"/>
        <c:axId val="285554704"/>
      </c:barChart>
      <c:catAx>
        <c:axId val="285554312"/>
        <c:scaling>
          <c:orientation val="minMax"/>
        </c:scaling>
        <c:delete val="0"/>
        <c:axPos val="b"/>
        <c:numFmt formatCode="General" sourceLinked="0"/>
        <c:majorTickMark val="out"/>
        <c:minorTickMark val="none"/>
        <c:tickLblPos val="nextTo"/>
        <c:crossAx val="285554704"/>
        <c:crosses val="autoZero"/>
        <c:auto val="1"/>
        <c:lblAlgn val="ctr"/>
        <c:lblOffset val="100"/>
        <c:noMultiLvlLbl val="0"/>
      </c:catAx>
      <c:valAx>
        <c:axId val="285554704"/>
        <c:scaling>
          <c:orientation val="minMax"/>
        </c:scaling>
        <c:delete val="0"/>
        <c:axPos val="l"/>
        <c:majorGridlines/>
        <c:numFmt formatCode="0.0%" sourceLinked="1"/>
        <c:majorTickMark val="out"/>
        <c:minorTickMark val="none"/>
        <c:tickLblPos val="nextTo"/>
        <c:crossAx val="285554312"/>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Participation Rates for Permanent Tenure Blacks</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in Management Positions (Excludes CC and EI Pay Plans) </a:t>
            </a:r>
            <a:endParaRPr lang="en-US" sz="1200">
              <a:effectLst/>
            </a:endParaRPr>
          </a:p>
        </c:rich>
      </c:tx>
      <c:overlay val="0"/>
    </c:title>
    <c:autoTitleDeleted val="0"/>
    <c:plotArea>
      <c:layout/>
      <c:barChart>
        <c:barDir val="col"/>
        <c:grouping val="clustered"/>
        <c:varyColors val="0"/>
        <c:ser>
          <c:idx val="1"/>
          <c:order val="0"/>
          <c:tx>
            <c:strRef>
              <c:f>'Officials and Managers'!$L$12</c:f>
              <c:strCache>
                <c:ptCount val="1"/>
                <c:pt idx="0">
                  <c:v>Black</c:v>
                </c:pt>
              </c:strCache>
            </c:strRef>
          </c:tx>
          <c:invertIfNegative val="0"/>
          <c:dPt>
            <c:idx val="0"/>
            <c:invertIfNegative val="0"/>
            <c:bubble3D val="0"/>
            <c:spPr>
              <a:solidFill>
                <a:srgbClr val="C0504D"/>
              </a:solidFill>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Managers'!$J$13:$J$17</c:f>
              <c:strCache>
                <c:ptCount val="5"/>
                <c:pt idx="0">
                  <c:v>NIH Total Workforce (Permanent)</c:v>
                </c:pt>
                <c:pt idx="1">
                  <c:v>SUP Executive/Senior Level </c:v>
                </c:pt>
                <c:pt idx="2">
                  <c:v>SUP Mid-Level </c:v>
                </c:pt>
                <c:pt idx="3">
                  <c:v>SUP First-Level </c:v>
                </c:pt>
                <c:pt idx="4">
                  <c:v>Other Officials and Managers </c:v>
                </c:pt>
              </c:strCache>
            </c:strRef>
          </c:cat>
          <c:val>
            <c:numRef>
              <c:f>'Officials and Managers'!$L$13:$L$17</c:f>
              <c:numCache>
                <c:formatCode>0.0%</c:formatCode>
                <c:ptCount val="5"/>
                <c:pt idx="0">
                  <c:v>0.247</c:v>
                </c:pt>
                <c:pt idx="1">
                  <c:v>7.9299999999999995E-2</c:v>
                </c:pt>
                <c:pt idx="2">
                  <c:v>0.22409999999999999</c:v>
                </c:pt>
                <c:pt idx="3">
                  <c:v>0.4551</c:v>
                </c:pt>
                <c:pt idx="4">
                  <c:v>0.38100000000000001</c:v>
                </c:pt>
              </c:numCache>
            </c:numRef>
          </c:val>
        </c:ser>
        <c:dLbls>
          <c:dLblPos val="inEnd"/>
          <c:showLegendKey val="0"/>
          <c:showVal val="1"/>
          <c:showCatName val="0"/>
          <c:showSerName val="0"/>
          <c:showPercent val="0"/>
          <c:showBubbleSize val="0"/>
        </c:dLbls>
        <c:gapWidth val="150"/>
        <c:axId val="285555488"/>
        <c:axId val="285555880"/>
      </c:barChart>
      <c:catAx>
        <c:axId val="285555488"/>
        <c:scaling>
          <c:orientation val="minMax"/>
        </c:scaling>
        <c:delete val="0"/>
        <c:axPos val="b"/>
        <c:numFmt formatCode="General" sourceLinked="0"/>
        <c:majorTickMark val="out"/>
        <c:minorTickMark val="none"/>
        <c:tickLblPos val="nextTo"/>
        <c:crossAx val="285555880"/>
        <c:crosses val="autoZero"/>
        <c:auto val="1"/>
        <c:lblAlgn val="ctr"/>
        <c:lblOffset val="100"/>
        <c:noMultiLvlLbl val="0"/>
      </c:catAx>
      <c:valAx>
        <c:axId val="285555880"/>
        <c:scaling>
          <c:orientation val="minMax"/>
        </c:scaling>
        <c:delete val="0"/>
        <c:axPos val="l"/>
        <c:majorGridlines/>
        <c:numFmt formatCode="0.0%" sourceLinked="1"/>
        <c:majorTickMark val="out"/>
        <c:minorTickMark val="none"/>
        <c:tickLblPos val="nextTo"/>
        <c:crossAx val="285555488"/>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Participation Rates for Permanent Tenure Whites</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in Management Positions (Excludes CC and EI Pay Plans) </a:t>
            </a:r>
            <a:endParaRPr lang="en-US" sz="1200">
              <a:effectLst/>
            </a:endParaRPr>
          </a:p>
        </c:rich>
      </c:tx>
      <c:layout>
        <c:manualLayout>
          <c:xMode val="edge"/>
          <c:yMode val="edge"/>
          <c:x val="0.24951256092988378"/>
          <c:y val="1.3368983957219251E-2"/>
        </c:manualLayout>
      </c:layout>
      <c:overlay val="0"/>
    </c:title>
    <c:autoTitleDeleted val="0"/>
    <c:plotArea>
      <c:layout/>
      <c:barChart>
        <c:barDir val="col"/>
        <c:grouping val="clustered"/>
        <c:varyColors val="0"/>
        <c:ser>
          <c:idx val="0"/>
          <c:order val="0"/>
          <c:tx>
            <c:strRef>
              <c:f>'Officials and Managers'!$K$12</c:f>
              <c:strCache>
                <c:ptCount val="1"/>
                <c:pt idx="0">
                  <c:v>White</c:v>
                </c:pt>
              </c:strCache>
            </c:strRef>
          </c:tx>
          <c:invertIfNegative val="0"/>
          <c:dPt>
            <c:idx val="0"/>
            <c:invertIfNegative val="0"/>
            <c:bubble3D val="0"/>
            <c:spPr>
              <a:solidFill>
                <a:srgbClr val="C0504D"/>
              </a:solidFill>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Managers'!$J$13:$J$17</c:f>
              <c:strCache>
                <c:ptCount val="5"/>
                <c:pt idx="0">
                  <c:v>NIH Total Workforce (Permanent)</c:v>
                </c:pt>
                <c:pt idx="1">
                  <c:v>SUP Executive/Senior Level </c:v>
                </c:pt>
                <c:pt idx="2">
                  <c:v>SUP Mid-Level </c:v>
                </c:pt>
                <c:pt idx="3">
                  <c:v>SUP First-Level </c:v>
                </c:pt>
                <c:pt idx="4">
                  <c:v>Other Officials and Managers </c:v>
                </c:pt>
              </c:strCache>
            </c:strRef>
          </c:cat>
          <c:val>
            <c:numRef>
              <c:f>'Officials and Managers'!$K$13:$K$17</c:f>
              <c:numCache>
                <c:formatCode>0.0%</c:formatCode>
                <c:ptCount val="5"/>
                <c:pt idx="0">
                  <c:v>0.502</c:v>
                </c:pt>
                <c:pt idx="1">
                  <c:v>0.79559999999999997</c:v>
                </c:pt>
                <c:pt idx="2">
                  <c:v>0.69500000000000006</c:v>
                </c:pt>
                <c:pt idx="3">
                  <c:v>0.48080000000000001</c:v>
                </c:pt>
                <c:pt idx="4">
                  <c:v>0.58199999999999996</c:v>
                </c:pt>
              </c:numCache>
            </c:numRef>
          </c:val>
        </c:ser>
        <c:dLbls>
          <c:dLblPos val="inEnd"/>
          <c:showLegendKey val="0"/>
          <c:showVal val="1"/>
          <c:showCatName val="0"/>
          <c:showSerName val="0"/>
          <c:showPercent val="0"/>
          <c:showBubbleSize val="0"/>
        </c:dLbls>
        <c:gapWidth val="150"/>
        <c:axId val="285556664"/>
        <c:axId val="285557056"/>
      </c:barChart>
      <c:catAx>
        <c:axId val="285556664"/>
        <c:scaling>
          <c:orientation val="minMax"/>
        </c:scaling>
        <c:delete val="0"/>
        <c:axPos val="b"/>
        <c:numFmt formatCode="General" sourceLinked="0"/>
        <c:majorTickMark val="out"/>
        <c:minorTickMark val="none"/>
        <c:tickLblPos val="nextTo"/>
        <c:crossAx val="285557056"/>
        <c:crosses val="autoZero"/>
        <c:auto val="1"/>
        <c:lblAlgn val="ctr"/>
        <c:lblOffset val="100"/>
        <c:noMultiLvlLbl val="0"/>
      </c:catAx>
      <c:valAx>
        <c:axId val="285557056"/>
        <c:scaling>
          <c:orientation val="minMax"/>
        </c:scaling>
        <c:delete val="0"/>
        <c:axPos val="l"/>
        <c:majorGridlines/>
        <c:numFmt formatCode="0.0%" sourceLinked="1"/>
        <c:majorTickMark val="out"/>
        <c:minorTickMark val="none"/>
        <c:tickLblPos val="nextTo"/>
        <c:crossAx val="28555666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Participation Rates for Permanent Tenure Asians</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in Management Positions (Excludes CC and EI Pay Plans) </a:t>
            </a:r>
            <a:endParaRPr lang="en-US" sz="1200">
              <a:effectLst/>
            </a:endParaRPr>
          </a:p>
        </c:rich>
      </c:tx>
      <c:overlay val="0"/>
    </c:title>
    <c:autoTitleDeleted val="0"/>
    <c:plotArea>
      <c:layout/>
      <c:barChart>
        <c:barDir val="col"/>
        <c:grouping val="clustered"/>
        <c:varyColors val="0"/>
        <c:ser>
          <c:idx val="3"/>
          <c:order val="0"/>
          <c:tx>
            <c:strRef>
              <c:f>'Officials and Managers'!$N$12</c:f>
              <c:strCache>
                <c:ptCount val="1"/>
                <c:pt idx="0">
                  <c:v>Asian</c:v>
                </c:pt>
              </c:strCache>
            </c:strRef>
          </c:tx>
          <c:invertIfNegative val="0"/>
          <c:dPt>
            <c:idx val="0"/>
            <c:invertIfNegative val="0"/>
            <c:bubble3D val="0"/>
            <c:spPr>
              <a:solidFill>
                <a:srgbClr val="C0504D"/>
              </a:solidFill>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'Officials and Managers'!$J$13:$J$17</c:f>
              <c:strCache>
                <c:ptCount val="5"/>
                <c:pt idx="0">
                  <c:v>NIH Total Workforce (Permanent)</c:v>
                </c:pt>
                <c:pt idx="1">
                  <c:v>SUP Executive/Senior Level </c:v>
                </c:pt>
                <c:pt idx="2">
                  <c:v>SUP Mid-Level </c:v>
                </c:pt>
                <c:pt idx="3">
                  <c:v>SUP First-Level </c:v>
                </c:pt>
                <c:pt idx="4">
                  <c:v>Other Officials and Managers </c:v>
                </c:pt>
              </c:strCache>
            </c:strRef>
          </c:cat>
          <c:val>
            <c:numRef>
              <c:f>'Officials and Managers'!$N$13:$N$17</c:f>
              <c:numCache>
                <c:formatCode>0.0%</c:formatCode>
                <c:ptCount val="5"/>
                <c:pt idx="0">
                  <c:v>0.11700000000000001</c:v>
                </c:pt>
                <c:pt idx="1">
                  <c:v>9.870000000000001E-2</c:v>
                </c:pt>
                <c:pt idx="2">
                  <c:v>5.6000000000000001E-2</c:v>
                </c:pt>
                <c:pt idx="3">
                  <c:v>3.8399999999999997E-2</c:v>
                </c:pt>
                <c:pt idx="4">
                  <c:v>0.11700000000000001</c:v>
                </c:pt>
              </c:numCache>
            </c:numRef>
          </c:val>
        </c:ser>
        <c:dLbls>
          <c:dLblPos val="inEnd"/>
          <c:showLegendKey val="0"/>
          <c:showVal val="1"/>
          <c:showCatName val="0"/>
          <c:showSerName val="0"/>
          <c:showPercent val="0"/>
          <c:showBubbleSize val="0"/>
        </c:dLbls>
        <c:gapWidth val="150"/>
        <c:axId val="285557840"/>
        <c:axId val="285558232"/>
      </c:barChart>
      <c:catAx>
        <c:axId val="285557840"/>
        <c:scaling>
          <c:orientation val="minMax"/>
        </c:scaling>
        <c:delete val="0"/>
        <c:axPos val="b"/>
        <c:numFmt formatCode="General" sourceLinked="0"/>
        <c:majorTickMark val="out"/>
        <c:minorTickMark val="none"/>
        <c:tickLblPos val="nextTo"/>
        <c:crossAx val="285558232"/>
        <c:crosses val="autoZero"/>
        <c:auto val="1"/>
        <c:lblAlgn val="ctr"/>
        <c:lblOffset val="100"/>
        <c:noMultiLvlLbl val="0"/>
      </c:catAx>
      <c:valAx>
        <c:axId val="285558232"/>
        <c:scaling>
          <c:orientation val="minMax"/>
        </c:scaling>
        <c:delete val="0"/>
        <c:axPos val="l"/>
        <c:majorGridlines/>
        <c:numFmt formatCode="0.0%" sourceLinked="1"/>
        <c:majorTickMark val="out"/>
        <c:minorTickMark val="none"/>
        <c:tickLblPos val="nextTo"/>
        <c:crossAx val="285557840"/>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NIH Applicant Selected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Male</c:v>
                </c:pt>
                <c:pt idx="1">
                  <c:v>Female</c:v>
                </c:pt>
              </c:strCache>
            </c:strRef>
          </c:cat>
          <c:val>
            <c:numRef>
              <c:f>Sheet1!$B$2:$C$2</c:f>
              <c:numCache>
                <c:formatCode>0.0%</c:formatCode>
                <c:ptCount val="2"/>
                <c:pt idx="0">
                  <c:v>0.35699999999999998</c:v>
                </c:pt>
                <c:pt idx="1">
                  <c:v>0.64400000000000002</c:v>
                </c:pt>
              </c:numCache>
            </c:numRef>
          </c:val>
        </c:ser>
        <c:ser>
          <c:idx val="1"/>
          <c:order val="1"/>
          <c:tx>
            <c:strRef>
              <c:f>Sheet1!$A$3</c:f>
              <c:strCache>
                <c:ptCount val="1"/>
                <c:pt idx="0">
                  <c:v>NIH Workforce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Male</c:v>
                </c:pt>
                <c:pt idx="1">
                  <c:v>Female</c:v>
                </c:pt>
              </c:strCache>
            </c:strRef>
          </c:cat>
          <c:val>
            <c:numRef>
              <c:f>Sheet1!$B$3:$C$3</c:f>
              <c:numCache>
                <c:formatCode>0.0%</c:formatCode>
                <c:ptCount val="2"/>
                <c:pt idx="0">
                  <c:v>0.41699999999999998</c:v>
                </c:pt>
                <c:pt idx="1">
                  <c:v>0.58299999999999996</c:v>
                </c:pt>
              </c:numCache>
            </c:numRef>
          </c:val>
        </c:ser>
        <c:ser>
          <c:idx val="2"/>
          <c:order val="2"/>
          <c:tx>
            <c:strRef>
              <c:f>Sheet1!$A$4</c:f>
              <c:strCache>
                <c:ptCount val="1"/>
                <c:pt idx="0">
                  <c:v>Civilian Labor Force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Male</c:v>
                </c:pt>
                <c:pt idx="1">
                  <c:v>Female</c:v>
                </c:pt>
              </c:strCache>
            </c:strRef>
          </c:cat>
          <c:val>
            <c:numRef>
              <c:f>Sheet1!$B$4:$C$4</c:f>
              <c:numCache>
                <c:formatCode>0.0%</c:formatCode>
                <c:ptCount val="2"/>
                <c:pt idx="0">
                  <c:v>0.51900000000000002</c:v>
                </c:pt>
                <c:pt idx="1">
                  <c:v>0.48099999999999998</c:v>
                </c:pt>
              </c:numCache>
            </c:numRef>
          </c:val>
        </c:ser>
        <c:ser>
          <c:idx val="3"/>
          <c:order val="3"/>
          <c:tx>
            <c:strRef>
              <c:f>Sheet1!$A$5</c:f>
              <c:strCache>
                <c:ptCount val="1"/>
              </c:strCache>
            </c:strRef>
          </c:tx>
          <c:invertIfNegative val="0"/>
          <c:cat>
            <c:strRef>
              <c:f>Sheet1!$B$1:$C$1</c:f>
              <c:strCache>
                <c:ptCount val="2"/>
                <c:pt idx="0">
                  <c:v>Male</c:v>
                </c:pt>
                <c:pt idx="1">
                  <c:v>Female</c:v>
                </c:pt>
              </c:strCache>
            </c:strRef>
          </c:cat>
          <c:val>
            <c:numRef>
              <c:f>Sheet1!$B$5:$C$5</c:f>
            </c:numRef>
          </c:val>
        </c:ser>
        <c:dLbls>
          <c:showLegendKey val="0"/>
          <c:showVal val="0"/>
          <c:showCatName val="0"/>
          <c:showSerName val="0"/>
          <c:showPercent val="0"/>
          <c:showBubbleSize val="0"/>
        </c:dLbls>
        <c:gapWidth val="150"/>
        <c:axId val="285559016"/>
        <c:axId val="285559408"/>
      </c:barChart>
      <c:catAx>
        <c:axId val="285559016"/>
        <c:scaling>
          <c:orientation val="minMax"/>
        </c:scaling>
        <c:delete val="0"/>
        <c:axPos val="b"/>
        <c:numFmt formatCode="General" sourceLinked="0"/>
        <c:majorTickMark val="none"/>
        <c:minorTickMark val="none"/>
        <c:tickLblPos val="nextTo"/>
        <c:crossAx val="285559408"/>
        <c:crosses val="autoZero"/>
        <c:auto val="1"/>
        <c:lblAlgn val="ctr"/>
        <c:lblOffset val="100"/>
        <c:noMultiLvlLbl val="0"/>
      </c:catAx>
      <c:valAx>
        <c:axId val="285559408"/>
        <c:scaling>
          <c:orientation val="minMax"/>
        </c:scaling>
        <c:delete val="0"/>
        <c:axPos val="l"/>
        <c:numFmt formatCode="0.0%" sourceLinked="1"/>
        <c:majorTickMark val="none"/>
        <c:minorTickMark val="none"/>
        <c:tickLblPos val="nextTo"/>
        <c:crossAx val="285559016"/>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a:cs typeface="Times New Roman"/>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84259222710099"/>
          <c:y val="1.5756309307490401E-2"/>
          <c:w val="0.77384072964678896"/>
          <c:h val="0.73320613769432696"/>
        </c:manualLayout>
      </c:layout>
      <c:barChart>
        <c:barDir val="col"/>
        <c:grouping val="clustered"/>
        <c:varyColors val="0"/>
        <c:ser>
          <c:idx val="0"/>
          <c:order val="0"/>
          <c:tx>
            <c:strRef>
              <c:f>'[Chart in Microsoft PowerPoint]Sheet1'!$B$1</c:f>
              <c:strCache>
                <c:ptCount val="1"/>
                <c:pt idx="0">
                  <c:v>NIH Applicant Selected</c:v>
                </c:pt>
              </c:strCache>
            </c:strRef>
          </c:tx>
          <c:invertIfNegative val="0"/>
          <c:dLbls>
            <c:numFmt formatCode="0.0%" sourceLinked="0"/>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PowerPoint]Sheet1'!$A$2:$A$8</c:f>
              <c:strCache>
                <c:ptCount val="7"/>
                <c:pt idx="0">
                  <c:v>White</c:v>
                </c:pt>
                <c:pt idx="1">
                  <c:v>Black</c:v>
                </c:pt>
                <c:pt idx="2">
                  <c:v>Hispanic</c:v>
                </c:pt>
                <c:pt idx="3">
                  <c:v>Asian</c:v>
                </c:pt>
                <c:pt idx="4">
                  <c:v>Native Hawaiian/Pacific Islander*</c:v>
                </c:pt>
                <c:pt idx="5">
                  <c:v>American Indian/Alaska Native</c:v>
                </c:pt>
                <c:pt idx="6">
                  <c:v>Multiple Races*</c:v>
                </c:pt>
              </c:strCache>
            </c:strRef>
          </c:cat>
          <c:val>
            <c:numRef>
              <c:f>'[Chart in Microsoft PowerPoint]Sheet1'!$B$2:$B$8</c:f>
              <c:numCache>
                <c:formatCode>0.00%</c:formatCode>
                <c:ptCount val="7"/>
                <c:pt idx="0">
                  <c:v>0.42199999999999999</c:v>
                </c:pt>
                <c:pt idx="1">
                  <c:v>0.23499999999999999</c:v>
                </c:pt>
                <c:pt idx="2">
                  <c:v>1.4E-2</c:v>
                </c:pt>
                <c:pt idx="3">
                  <c:v>0.17100000000000001</c:v>
                </c:pt>
                <c:pt idx="4">
                  <c:v>0</c:v>
                </c:pt>
                <c:pt idx="5">
                  <c:v>2.3E-3</c:v>
                </c:pt>
                <c:pt idx="6">
                  <c:v>0.155</c:v>
                </c:pt>
              </c:numCache>
            </c:numRef>
          </c:val>
        </c:ser>
        <c:ser>
          <c:idx val="1"/>
          <c:order val="1"/>
          <c:tx>
            <c:strRef>
              <c:f>'[Chart in Microsoft PowerPoint]Sheet1'!$C$1</c:f>
              <c:strCache>
                <c:ptCount val="1"/>
                <c:pt idx="0">
                  <c:v>NIH Workforce</c:v>
                </c:pt>
              </c:strCache>
            </c:strRef>
          </c:tx>
          <c:invertIfNegative val="0"/>
          <c:dLbls>
            <c:numFmt formatCode="0.0%" sourceLinked="0"/>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PowerPoint]Sheet1'!$A$2:$A$8</c:f>
              <c:strCache>
                <c:ptCount val="7"/>
                <c:pt idx="0">
                  <c:v>White</c:v>
                </c:pt>
                <c:pt idx="1">
                  <c:v>Black</c:v>
                </c:pt>
                <c:pt idx="2">
                  <c:v>Hispanic</c:v>
                </c:pt>
                <c:pt idx="3">
                  <c:v>Asian</c:v>
                </c:pt>
                <c:pt idx="4">
                  <c:v>Native Hawaiian/Pacific Islander*</c:v>
                </c:pt>
                <c:pt idx="5">
                  <c:v>American Indian/Alaska Native</c:v>
                </c:pt>
                <c:pt idx="6">
                  <c:v>Multiple Races*</c:v>
                </c:pt>
              </c:strCache>
            </c:strRef>
          </c:cat>
          <c:val>
            <c:numRef>
              <c:f>'[Chart in Microsoft PowerPoint]Sheet1'!$C$2:$C$8</c:f>
              <c:numCache>
                <c:formatCode>0.00%</c:formatCode>
                <c:ptCount val="7"/>
                <c:pt idx="0">
                  <c:v>0.58899999999999997</c:v>
                </c:pt>
                <c:pt idx="1">
                  <c:v>0.20399999999999999</c:v>
                </c:pt>
                <c:pt idx="2">
                  <c:v>0.03</c:v>
                </c:pt>
                <c:pt idx="3">
                  <c:v>0.17100000000000001</c:v>
                </c:pt>
                <c:pt idx="5">
                  <c:v>5.4000000000000003E-3</c:v>
                </c:pt>
              </c:numCache>
            </c:numRef>
          </c:val>
        </c:ser>
        <c:ser>
          <c:idx val="2"/>
          <c:order val="2"/>
          <c:tx>
            <c:strRef>
              <c:f>'[Chart in Microsoft PowerPoint]Sheet1'!$D$1</c:f>
              <c:strCache>
                <c:ptCount val="1"/>
                <c:pt idx="0">
                  <c:v>CLF</c:v>
                </c:pt>
              </c:strCache>
            </c:strRef>
          </c:tx>
          <c:invertIfNegative val="0"/>
          <c:dLbls>
            <c:dLbl>
              <c:idx val="0"/>
              <c:layout>
                <c:manualLayout>
                  <c:x val="1.38888888888889E-3"/>
                  <c:y val="5.1281646469559404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PowerPoint]Sheet1'!$A$2:$A$8</c:f>
              <c:strCache>
                <c:ptCount val="7"/>
                <c:pt idx="0">
                  <c:v>White</c:v>
                </c:pt>
                <c:pt idx="1">
                  <c:v>Black</c:v>
                </c:pt>
                <c:pt idx="2">
                  <c:v>Hispanic</c:v>
                </c:pt>
                <c:pt idx="3">
                  <c:v>Asian</c:v>
                </c:pt>
                <c:pt idx="4">
                  <c:v>Native Hawaiian/Pacific Islander*</c:v>
                </c:pt>
                <c:pt idx="5">
                  <c:v>American Indian/Alaska Native</c:v>
                </c:pt>
                <c:pt idx="6">
                  <c:v>Multiple Races*</c:v>
                </c:pt>
              </c:strCache>
            </c:strRef>
          </c:cat>
          <c:val>
            <c:numRef>
              <c:f>'[Chart in Microsoft PowerPoint]Sheet1'!$D$2:$D$8</c:f>
              <c:numCache>
                <c:formatCode>0.00%</c:formatCode>
                <c:ptCount val="7"/>
                <c:pt idx="0">
                  <c:v>0.72399999999999998</c:v>
                </c:pt>
                <c:pt idx="1">
                  <c:v>0.12</c:v>
                </c:pt>
                <c:pt idx="2">
                  <c:v>0.1</c:v>
                </c:pt>
                <c:pt idx="3">
                  <c:v>3.9E-2</c:v>
                </c:pt>
                <c:pt idx="4">
                  <c:v>2E-3</c:v>
                </c:pt>
                <c:pt idx="5">
                  <c:v>1.0999999999999999E-2</c:v>
                </c:pt>
                <c:pt idx="6">
                  <c:v>6.0000000000000001E-3</c:v>
                </c:pt>
              </c:numCache>
            </c:numRef>
          </c:val>
        </c:ser>
        <c:dLbls>
          <c:showLegendKey val="0"/>
          <c:showVal val="0"/>
          <c:showCatName val="0"/>
          <c:showSerName val="0"/>
          <c:showPercent val="0"/>
          <c:showBubbleSize val="0"/>
        </c:dLbls>
        <c:gapWidth val="150"/>
        <c:axId val="285560584"/>
        <c:axId val="285560976"/>
      </c:barChart>
      <c:catAx>
        <c:axId val="285560584"/>
        <c:scaling>
          <c:orientation val="minMax"/>
        </c:scaling>
        <c:delete val="0"/>
        <c:axPos val="b"/>
        <c:numFmt formatCode="0.0%" sourceLinked="0"/>
        <c:majorTickMark val="none"/>
        <c:minorTickMark val="none"/>
        <c:tickLblPos val="nextTo"/>
        <c:crossAx val="285560976"/>
        <c:crosses val="autoZero"/>
        <c:auto val="1"/>
        <c:lblAlgn val="ctr"/>
        <c:lblOffset val="100"/>
        <c:noMultiLvlLbl val="0"/>
      </c:catAx>
      <c:valAx>
        <c:axId val="285560976"/>
        <c:scaling>
          <c:orientation val="minMax"/>
        </c:scaling>
        <c:delete val="0"/>
        <c:axPos val="l"/>
        <c:numFmt formatCode="0.0%" sourceLinked="0"/>
        <c:majorTickMark val="none"/>
        <c:minorTickMark val="none"/>
        <c:tickLblPos val="nextTo"/>
        <c:crossAx val="285560584"/>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a:cs typeface="Times New Roman"/>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NIH Investigator Workforce by Sex as of October 1, 2014</a:t>
            </a:r>
          </a:p>
          <a:p>
            <a:pPr>
              <a:defRPr sz="1200"/>
            </a:pPr>
            <a:r>
              <a:rPr lang="en-US" sz="900" b="1" i="0" u="none" strike="noStrike" baseline="0">
                <a:effectLst/>
              </a:rPr>
              <a:t>Includes Foreign Nationals</a:t>
            </a:r>
            <a:endParaRPr lang="en-US" sz="900" b="1" i="0" baseline="0">
              <a:effectLst/>
            </a:endParaRPr>
          </a:p>
        </c:rich>
      </c:tx>
      <c:overlay val="0"/>
    </c:title>
    <c:autoTitleDeleted val="0"/>
    <c:plotArea>
      <c:layout/>
      <c:pieChart>
        <c:varyColors val="1"/>
        <c:ser>
          <c:idx val="1"/>
          <c:order val="0"/>
          <c:dPt>
            <c:idx val="1"/>
            <c:bubble3D val="0"/>
            <c:explosion val="5"/>
            <c:spPr>
              <a:solidFill>
                <a:schemeClr val="accent6"/>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NIH!$C$22:$C$23</c:f>
              <c:strCache>
                <c:ptCount val="2"/>
                <c:pt idx="0">
                  <c:v>Male</c:v>
                </c:pt>
                <c:pt idx="1">
                  <c:v>Female</c:v>
                </c:pt>
              </c:strCache>
            </c:strRef>
          </c:cat>
          <c:val>
            <c:numRef>
              <c:f>NIH!$E$22:$E$23</c:f>
              <c:numCache>
                <c:formatCode>0.0%</c:formatCode>
                <c:ptCount val="2"/>
                <c:pt idx="0">
                  <c:v>0.61899999999999999</c:v>
                </c:pt>
                <c:pt idx="1">
                  <c:v>0.38100000000000001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NIH Investigator Workforce by Race/Ethnicity and Sex</a:t>
            </a:r>
          </a:p>
          <a:p>
            <a:pPr>
              <a:defRPr/>
            </a:pPr>
            <a:r>
              <a:rPr lang="en-US"/>
              <a:t> as of October 1, 2014</a:t>
            </a:r>
          </a:p>
          <a:p>
            <a:pPr>
              <a:defRPr/>
            </a:pPr>
            <a:r>
              <a:rPr lang="en-US"/>
              <a:t>Includes Foreign Nationals  within the respective Race/Ethnicity category where applicable</a:t>
            </a:r>
          </a:p>
          <a:p>
            <a:pPr>
              <a:defRPr/>
            </a:pPr>
            <a:endParaRPr lang="en-US"/>
          </a:p>
        </c:rich>
      </c:tx>
      <c:overlay val="0"/>
    </c:title>
    <c:autoTitleDeleted val="0"/>
    <c:plotArea>
      <c:layout/>
      <c:barChart>
        <c:barDir val="col"/>
        <c:grouping val="clustered"/>
        <c:varyColors val="0"/>
        <c:ser>
          <c:idx val="1"/>
          <c:order val="0"/>
          <c:tx>
            <c:strRef>
              <c:f>NIH!$E$6</c:f>
              <c:strCache>
                <c:ptCount val="1"/>
                <c:pt idx="0">
                  <c:v>% of NIH Total</c:v>
                </c:pt>
              </c:strCache>
            </c:strRef>
          </c:tx>
          <c:invertIfNegative val="0"/>
          <c:dPt>
            <c:idx val="0"/>
            <c:invertIfNegative val="0"/>
            <c:bubble3D val="0"/>
            <c:spPr>
              <a:solidFill>
                <a:schemeClr val="accent1"/>
              </a:solidFill>
            </c:spPr>
          </c:dPt>
          <c:dPt>
            <c:idx val="1"/>
            <c:invertIfNegative val="0"/>
            <c:bubble3D val="0"/>
            <c:spPr>
              <a:solidFill>
                <a:schemeClr val="accent6"/>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chemeClr val="accent1"/>
              </a:solidFill>
            </c:spPr>
          </c:dPt>
          <c:dPt>
            <c:idx val="5"/>
            <c:invertIfNegative val="0"/>
            <c:bubble3D val="0"/>
            <c:spPr>
              <a:solidFill>
                <a:schemeClr val="accent6"/>
              </a:solidFill>
            </c:spPr>
          </c:dPt>
          <c:dPt>
            <c:idx val="6"/>
            <c:invertIfNegative val="0"/>
            <c:bubble3D val="0"/>
            <c:spPr>
              <a:solidFill>
                <a:schemeClr val="accent1"/>
              </a:solidFill>
            </c:spPr>
          </c:dPt>
          <c:dPt>
            <c:idx val="7"/>
            <c:invertIfNegative val="0"/>
            <c:bubble3D val="0"/>
            <c:spPr>
              <a:solidFill>
                <a:schemeClr val="accent6"/>
              </a:solidFill>
            </c:spPr>
          </c:dPt>
          <c:dPt>
            <c:idx val="8"/>
            <c:invertIfNegative val="0"/>
            <c:bubble3D val="0"/>
            <c:spPr>
              <a:solidFill>
                <a:schemeClr val="accent1"/>
              </a:solidFill>
            </c:spPr>
          </c:dPt>
          <c:dPt>
            <c:idx val="9"/>
            <c:invertIfNegative val="0"/>
            <c:bubble3D val="0"/>
            <c:spPr>
              <a:solidFill>
                <a:schemeClr val="accent6"/>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(NIH!$B$7:$C$8,NIH!$B$10:$C$11,NIH!$B$13:$C$14,NIH!$B$16:$C$17,NIH!$B$19:$C$20)</c:f>
              <c:strCache>
                <c:ptCount val="10"/>
                <c:pt idx="0">
                  <c:v>White Male</c:v>
                </c:pt>
                <c:pt idx="1">
                  <c:v>White Female</c:v>
                </c:pt>
                <c:pt idx="2">
                  <c:v>Black Male</c:v>
                </c:pt>
                <c:pt idx="3">
                  <c:v>Black Female</c:v>
                </c:pt>
                <c:pt idx="4">
                  <c:v>Hispanic Male</c:v>
                </c:pt>
                <c:pt idx="5">
                  <c:v>Hispanic Female</c:v>
                </c:pt>
                <c:pt idx="6">
                  <c:v>Asian/Pacific Islander Male</c:v>
                </c:pt>
                <c:pt idx="7">
                  <c:v>Asian/Pacific Islander Female</c:v>
                </c:pt>
                <c:pt idx="8">
                  <c:v>AI/AN Male</c:v>
                </c:pt>
                <c:pt idx="9">
                  <c:v>AI/AN Female</c:v>
                </c:pt>
              </c:strCache>
            </c:strRef>
          </c:cat>
          <c:val>
            <c:numRef>
              <c:f>(NIH!$E$7:$E$8,NIH!$E$10:$E$11,NIH!$E$13:$E$14,NIH!$E$16:$E$17,NIH!$E$19:$E$20)</c:f>
              <c:numCache>
                <c:formatCode>0.0%</c:formatCode>
                <c:ptCount val="10"/>
                <c:pt idx="0">
                  <c:v>0.36299999999999999</c:v>
                </c:pt>
                <c:pt idx="1">
                  <c:v>0.251</c:v>
                </c:pt>
                <c:pt idx="2">
                  <c:v>8.9999999999999993E-3</c:v>
                </c:pt>
                <c:pt idx="3">
                  <c:v>5.0000000000000001E-3</c:v>
                </c:pt>
                <c:pt idx="4">
                  <c:v>1.4E-2</c:v>
                </c:pt>
                <c:pt idx="5">
                  <c:v>3.3000000000000002E-2</c:v>
                </c:pt>
                <c:pt idx="6">
                  <c:v>0.23300000000000001</c:v>
                </c:pt>
                <c:pt idx="7">
                  <c:v>8.7999999999999995E-2</c:v>
                </c:pt>
                <c:pt idx="8">
                  <c:v>0</c:v>
                </c:pt>
                <c:pt idx="9">
                  <c:v>5.0000000000000001E-3</c:v>
                </c:pt>
              </c:numCache>
            </c:numRef>
          </c:val>
        </c:ser>
        <c:dLbls>
          <c:showLegendKey val="0"/>
          <c:showVal val="0"/>
          <c:showCatName val="0"/>
          <c:showSerName val="0"/>
          <c:showPercent val="0"/>
          <c:showBubbleSize val="0"/>
        </c:dLbls>
        <c:gapWidth val="75"/>
        <c:overlap val="-25"/>
        <c:axId val="285562544"/>
        <c:axId val="285562936"/>
      </c:barChart>
      <c:catAx>
        <c:axId val="285562544"/>
        <c:scaling>
          <c:orientation val="minMax"/>
        </c:scaling>
        <c:delete val="0"/>
        <c:axPos val="b"/>
        <c:numFmt formatCode="General" sourceLinked="0"/>
        <c:majorTickMark val="none"/>
        <c:minorTickMark val="none"/>
        <c:tickLblPos val="nextTo"/>
        <c:crossAx val="285562936"/>
        <c:crosses val="autoZero"/>
        <c:auto val="1"/>
        <c:lblAlgn val="ctr"/>
        <c:lblOffset val="100"/>
        <c:noMultiLvlLbl val="0"/>
      </c:catAx>
      <c:valAx>
        <c:axId val="285562936"/>
        <c:scaling>
          <c:orientation val="minMax"/>
        </c:scaling>
        <c:delete val="0"/>
        <c:axPos val="l"/>
        <c:numFmt formatCode="0.0%" sourceLinked="1"/>
        <c:majorTickMark val="none"/>
        <c:minorTickMark val="none"/>
        <c:tickLblPos val="nextTo"/>
        <c:spPr>
          <a:ln w="9525">
            <a:noFill/>
          </a:ln>
        </c:spPr>
        <c:crossAx val="28556254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FY 2014 NIH Workforce by RNO and Sex</a:t>
            </a:r>
          </a:p>
          <a:p>
            <a:pPr>
              <a:defRPr/>
            </a:pPr>
            <a:r>
              <a:rPr lang="en-US" sz="1100"/>
              <a:t>Compared</a:t>
            </a:r>
            <a:r>
              <a:rPr lang="en-US" sz="1100" baseline="0"/>
              <a:t> to 2010 CLF (Excludes CC and EI Pay Plans)</a:t>
            </a:r>
            <a:endParaRPr lang="en-US" sz="1100"/>
          </a:p>
        </c:rich>
      </c:tx>
      <c:overlay val="0"/>
    </c:title>
    <c:autoTitleDeleted val="0"/>
    <c:plotArea>
      <c:layout>
        <c:manualLayout>
          <c:layoutTarget val="inner"/>
          <c:xMode val="edge"/>
          <c:yMode val="edge"/>
          <c:x val="0.116678241306793"/>
          <c:y val="0.19613146808996801"/>
          <c:w val="0.84719203849518798"/>
          <c:h val="0.65579797317002098"/>
        </c:manualLayout>
      </c:layout>
      <c:barChart>
        <c:barDir val="col"/>
        <c:grouping val="clustered"/>
        <c:varyColors val="0"/>
        <c:ser>
          <c:idx val="0"/>
          <c:order val="0"/>
          <c:tx>
            <c:strRef>
              <c:f>'[Chart in Microsoft Word]Total RNO G vs CLF'!$B$1</c:f>
              <c:strCache>
                <c:ptCount val="1"/>
                <c:pt idx="0">
                  <c:v>NIH</c:v>
                </c:pt>
              </c:strCache>
            </c:strRef>
          </c:tx>
          <c:invertIfNegative val="0"/>
          <c:cat>
            <c:strRef>
              <c:f>'[Chart in Microsoft Word]Total RNO G vs CLF'!$A$2:$A$11</c:f>
              <c:strCache>
                <c:ptCount val="10"/>
                <c:pt idx="0">
                  <c:v>Hispanic Male</c:v>
                </c:pt>
                <c:pt idx="1">
                  <c:v>Hispanic Female</c:v>
                </c:pt>
                <c:pt idx="2">
                  <c:v>White Male</c:v>
                </c:pt>
                <c:pt idx="3">
                  <c:v>White Female</c:v>
                </c:pt>
                <c:pt idx="4">
                  <c:v>Black Male</c:v>
                </c:pt>
                <c:pt idx="5">
                  <c:v>Black Female</c:v>
                </c:pt>
                <c:pt idx="6">
                  <c:v>Asian Male</c:v>
                </c:pt>
                <c:pt idx="7">
                  <c:v>Asian Female</c:v>
                </c:pt>
                <c:pt idx="8">
                  <c:v>AI/AN Male</c:v>
                </c:pt>
                <c:pt idx="9">
                  <c:v>AI/AN Female</c:v>
                </c:pt>
              </c:strCache>
            </c:strRef>
          </c:cat>
          <c:val>
            <c:numRef>
              <c:f>'[Chart in Microsoft Word]Total RNO G vs CLF'!$B$2:$B$11</c:f>
              <c:numCache>
                <c:formatCode>#,##0.0[$%-409]</c:formatCode>
                <c:ptCount val="10"/>
                <c:pt idx="0">
                  <c:v>1.34</c:v>
                </c:pt>
                <c:pt idx="1">
                  <c:v>1.69</c:v>
                </c:pt>
                <c:pt idx="2">
                  <c:v>26</c:v>
                </c:pt>
                <c:pt idx="3">
                  <c:v>32.72</c:v>
                </c:pt>
                <c:pt idx="4">
                  <c:v>6.04</c:v>
                </c:pt>
                <c:pt idx="5">
                  <c:v>14.32</c:v>
                </c:pt>
                <c:pt idx="6">
                  <c:v>8.17</c:v>
                </c:pt>
                <c:pt idx="7">
                  <c:v>9.17</c:v>
                </c:pt>
                <c:pt idx="8">
                  <c:v>0.1850642281733072</c:v>
                </c:pt>
                <c:pt idx="9">
                  <c:v>0.37</c:v>
                </c:pt>
              </c:numCache>
            </c:numRef>
          </c:val>
        </c:ser>
        <c:dLbls>
          <c:showLegendKey val="0"/>
          <c:showVal val="0"/>
          <c:showCatName val="0"/>
          <c:showSerName val="0"/>
          <c:showPercent val="0"/>
          <c:showBubbleSize val="0"/>
        </c:dLbls>
        <c:gapWidth val="150"/>
        <c:axId val="279358560"/>
        <c:axId val="279358952"/>
      </c:barChart>
      <c:lineChart>
        <c:grouping val="standard"/>
        <c:varyColors val="0"/>
        <c:ser>
          <c:idx val="1"/>
          <c:order val="1"/>
          <c:tx>
            <c:strRef>
              <c:f>'[Chart in Microsoft Word]Total RNO G vs CLF'!$C$1</c:f>
              <c:strCache>
                <c:ptCount val="1"/>
                <c:pt idx="0">
                  <c:v>CLF</c:v>
                </c:pt>
              </c:strCache>
            </c:strRef>
          </c:tx>
          <c:spPr>
            <a:ln>
              <a:noFill/>
            </a:ln>
          </c:spPr>
          <c:marker>
            <c:symbol val="dash"/>
            <c:size val="33"/>
            <c:spPr>
              <a:solidFill>
                <a:srgbClr val="FF0000"/>
              </a:solidFill>
            </c:spPr>
          </c:marker>
          <c:cat>
            <c:strRef>
              <c:f>'[Chart in Microsoft Word]Total RNO G vs CLF'!$A$2:$A$11</c:f>
              <c:strCache>
                <c:ptCount val="10"/>
                <c:pt idx="0">
                  <c:v>Hispanic Male</c:v>
                </c:pt>
                <c:pt idx="1">
                  <c:v>Hispanic Female</c:v>
                </c:pt>
                <c:pt idx="2">
                  <c:v>White Male</c:v>
                </c:pt>
                <c:pt idx="3">
                  <c:v>White Female</c:v>
                </c:pt>
                <c:pt idx="4">
                  <c:v>Black Male</c:v>
                </c:pt>
                <c:pt idx="5">
                  <c:v>Black Female</c:v>
                </c:pt>
                <c:pt idx="6">
                  <c:v>Asian Male</c:v>
                </c:pt>
                <c:pt idx="7">
                  <c:v>Asian Female</c:v>
                </c:pt>
                <c:pt idx="8">
                  <c:v>AI/AN Male</c:v>
                </c:pt>
                <c:pt idx="9">
                  <c:v>AI/AN Female</c:v>
                </c:pt>
              </c:strCache>
            </c:strRef>
          </c:cat>
          <c:val>
            <c:numRef>
              <c:f>'[Chart in Microsoft Word]Total RNO G vs CLF'!$C$2:$C$11</c:f>
              <c:numCache>
                <c:formatCode>#,##0.0[$%-409]</c:formatCode>
                <c:ptCount val="10"/>
                <c:pt idx="0">
                  <c:v>5.2</c:v>
                </c:pt>
                <c:pt idx="1">
                  <c:v>4.8</c:v>
                </c:pt>
                <c:pt idx="2">
                  <c:v>38.33</c:v>
                </c:pt>
                <c:pt idx="3">
                  <c:v>34.03</c:v>
                </c:pt>
                <c:pt idx="4">
                  <c:v>5.5</c:v>
                </c:pt>
                <c:pt idx="5">
                  <c:v>6.53</c:v>
                </c:pt>
                <c:pt idx="6">
                  <c:v>2</c:v>
                </c:pt>
                <c:pt idx="7">
                  <c:v>1.9</c:v>
                </c:pt>
                <c:pt idx="8">
                  <c:v>0.6</c:v>
                </c:pt>
                <c:pt idx="9">
                  <c:v>0.5</c:v>
                </c:pt>
              </c:numCache>
            </c:numRef>
          </c:val>
          <c:smooth val="0"/>
        </c:ser>
        <c:dLbls>
          <c:showLegendKey val="0"/>
          <c:showVal val="0"/>
          <c:showCatName val="0"/>
          <c:showSerName val="0"/>
          <c:showPercent val="0"/>
          <c:showBubbleSize val="0"/>
        </c:dLbls>
        <c:marker val="1"/>
        <c:smooth val="0"/>
        <c:axId val="279358560"/>
        <c:axId val="279358952"/>
      </c:lineChart>
      <c:catAx>
        <c:axId val="279358560"/>
        <c:scaling>
          <c:orientation val="minMax"/>
        </c:scaling>
        <c:delete val="0"/>
        <c:axPos val="b"/>
        <c:numFmt formatCode="General" sourceLinked="0"/>
        <c:majorTickMark val="out"/>
        <c:minorTickMark val="none"/>
        <c:tickLblPos val="nextTo"/>
        <c:crossAx val="279358952"/>
        <c:crosses val="autoZero"/>
        <c:auto val="1"/>
        <c:lblAlgn val="ctr"/>
        <c:lblOffset val="100"/>
        <c:noMultiLvlLbl val="0"/>
      </c:catAx>
      <c:valAx>
        <c:axId val="279358952"/>
        <c:scaling>
          <c:orientation val="minMax"/>
        </c:scaling>
        <c:delete val="0"/>
        <c:axPos val="l"/>
        <c:majorGridlines>
          <c:spPr>
            <a:ln>
              <a:noFill/>
            </a:ln>
          </c:spPr>
        </c:majorGridlines>
        <c:numFmt formatCode="#,##0.0[$%-409]" sourceLinked="1"/>
        <c:majorTickMark val="out"/>
        <c:minorTickMark val="none"/>
        <c:tickLblPos val="nextTo"/>
        <c:crossAx val="2793585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NIH Investigator Workforce by Disability Status  as of October 1, 2014</a:t>
            </a:r>
          </a:p>
          <a:p>
            <a:pPr>
              <a:defRPr sz="1200"/>
            </a:pPr>
            <a:r>
              <a:rPr lang="en-US" sz="900" b="1" i="0" u="none" strike="noStrike" baseline="0">
                <a:effectLst/>
              </a:rPr>
              <a:t>Includes Foreign Nationals </a:t>
            </a:r>
            <a:endParaRPr lang="en-US" sz="900">
              <a:effectLst/>
            </a:endParaRPr>
          </a:p>
        </c:rich>
      </c:tx>
      <c:overlay val="0"/>
    </c:title>
    <c:autoTitleDeleted val="0"/>
    <c:plotArea>
      <c:layout/>
      <c:barChart>
        <c:barDir val="col"/>
        <c:grouping val="clustered"/>
        <c:varyColors val="0"/>
        <c:ser>
          <c:idx val="1"/>
          <c:order val="0"/>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NIH!$J$29:$N$29</c:f>
              <c:strCache>
                <c:ptCount val="5"/>
                <c:pt idx="0">
                  <c:v>Not Identified</c:v>
                </c:pt>
                <c:pt idx="1">
                  <c:v>No Disability</c:v>
                </c:pt>
                <c:pt idx="2">
                  <c:v>Reportable Disability</c:v>
                </c:pt>
                <c:pt idx="3">
                  <c:v>Targeted Disability</c:v>
                </c:pt>
                <c:pt idx="4">
                  <c:v>Unknown</c:v>
                </c:pt>
              </c:strCache>
            </c:strRef>
          </c:cat>
          <c:val>
            <c:numRef>
              <c:f>NIH!$J$31:$N$31</c:f>
              <c:numCache>
                <c:formatCode>0.0%</c:formatCode>
                <c:ptCount val="5"/>
                <c:pt idx="0">
                  <c:v>1.9E-2</c:v>
                </c:pt>
                <c:pt idx="1">
                  <c:v>0.91200000000000003</c:v>
                </c:pt>
                <c:pt idx="2">
                  <c:v>3.3000000000000002E-2</c:v>
                </c:pt>
                <c:pt idx="3">
                  <c:v>0</c:v>
                </c:pt>
                <c:pt idx="4">
                  <c:v>3.6999999999999998E-2</c:v>
                </c:pt>
              </c:numCache>
            </c:numRef>
          </c:val>
        </c:ser>
        <c:dLbls>
          <c:showLegendKey val="0"/>
          <c:showVal val="1"/>
          <c:showCatName val="0"/>
          <c:showSerName val="0"/>
          <c:showPercent val="0"/>
          <c:showBubbleSize val="0"/>
        </c:dLbls>
        <c:gapWidth val="150"/>
        <c:overlap val="-25"/>
        <c:axId val="285563720"/>
        <c:axId val="285564112"/>
      </c:barChart>
      <c:catAx>
        <c:axId val="285563720"/>
        <c:scaling>
          <c:orientation val="minMax"/>
        </c:scaling>
        <c:delete val="0"/>
        <c:axPos val="b"/>
        <c:numFmt formatCode="General" sourceLinked="0"/>
        <c:majorTickMark val="none"/>
        <c:minorTickMark val="none"/>
        <c:tickLblPos val="nextTo"/>
        <c:crossAx val="285564112"/>
        <c:crosses val="autoZero"/>
        <c:auto val="1"/>
        <c:lblAlgn val="ctr"/>
        <c:lblOffset val="100"/>
        <c:noMultiLvlLbl val="0"/>
      </c:catAx>
      <c:valAx>
        <c:axId val="285564112"/>
        <c:scaling>
          <c:orientation val="minMax"/>
        </c:scaling>
        <c:delete val="1"/>
        <c:axPos val="l"/>
        <c:numFmt formatCode="0.0%" sourceLinked="1"/>
        <c:majorTickMark val="out"/>
        <c:minorTickMark val="none"/>
        <c:tickLblPos val="nextTo"/>
        <c:crossAx val="285563720"/>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NIH Senior Investigator Workforce by Sex as of October 1, 2014</a:t>
            </a:r>
          </a:p>
          <a:p>
            <a:pPr>
              <a:defRPr sz="1200"/>
            </a:pPr>
            <a:r>
              <a:rPr lang="en-US" sz="900" b="1" i="0" u="none" strike="noStrike" baseline="0">
                <a:effectLst/>
              </a:rPr>
              <a:t>Includes Foreign Nationals </a:t>
            </a:r>
            <a:endParaRPr lang="en-US" sz="900">
              <a:effectLst/>
            </a:endParaRPr>
          </a:p>
        </c:rich>
      </c:tx>
      <c:overlay val="0"/>
    </c:title>
    <c:autoTitleDeleted val="0"/>
    <c:plotArea>
      <c:layout/>
      <c:pieChart>
        <c:varyColors val="1"/>
        <c:ser>
          <c:idx val="1"/>
          <c:order val="0"/>
          <c:dPt>
            <c:idx val="1"/>
            <c:bubble3D val="0"/>
            <c:spPr>
              <a:solidFill>
                <a:schemeClr val="accent6"/>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NIH!$C$61:$C$62</c:f>
              <c:strCache>
                <c:ptCount val="2"/>
                <c:pt idx="0">
                  <c:v>Male</c:v>
                </c:pt>
                <c:pt idx="1">
                  <c:v>Female</c:v>
                </c:pt>
              </c:strCache>
            </c:strRef>
          </c:cat>
          <c:val>
            <c:numRef>
              <c:f>NIH!$E$61:$E$62</c:f>
              <c:numCache>
                <c:formatCode>0.0%</c:formatCode>
                <c:ptCount val="2"/>
                <c:pt idx="0">
                  <c:v>0.79400000000000004</c:v>
                </c:pt>
                <c:pt idx="1">
                  <c:v>0.20599999999999999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NIH Investigator Workforce by Race/Ethnicity and Sex</a:t>
            </a:r>
          </a:p>
          <a:p>
            <a:pPr>
              <a:defRPr sz="1200"/>
            </a:pPr>
            <a:r>
              <a:rPr lang="en-US" sz="1200" baseline="0"/>
              <a:t> as of October 1, 2014</a:t>
            </a:r>
          </a:p>
          <a:p>
            <a:pPr>
              <a:defRPr sz="1200"/>
            </a:pPr>
            <a:r>
              <a:rPr lang="en-US" sz="900" b="1" i="0" u="none" strike="noStrike" baseline="0">
                <a:effectLst/>
              </a:rPr>
              <a:t>Includes Foreign Nationals  within the respective Race/Ethnicity category where applicable</a:t>
            </a:r>
            <a:endParaRPr lang="en-US" sz="900" baseline="0"/>
          </a:p>
          <a:p>
            <a:pPr>
              <a:defRPr sz="1200"/>
            </a:pPr>
            <a:endParaRPr lang="en-US" sz="1200"/>
          </a:p>
        </c:rich>
      </c:tx>
      <c:overlay val="0"/>
    </c:title>
    <c:autoTitleDeleted val="0"/>
    <c:plotArea>
      <c:layout/>
      <c:barChart>
        <c:barDir val="col"/>
        <c:grouping val="clustered"/>
        <c:varyColors val="0"/>
        <c:ser>
          <c:idx val="1"/>
          <c:order val="0"/>
          <c:tx>
            <c:strRef>
              <c:f>NIH!$E$6</c:f>
              <c:strCache>
                <c:ptCount val="1"/>
                <c:pt idx="0">
                  <c:v>% of NIH Total</c:v>
                </c:pt>
              </c:strCache>
            </c:strRef>
          </c:tx>
          <c:invertIfNegative val="0"/>
          <c:dPt>
            <c:idx val="0"/>
            <c:invertIfNegative val="0"/>
            <c:bubble3D val="0"/>
            <c:spPr>
              <a:solidFill>
                <a:schemeClr val="accent1"/>
              </a:solidFill>
            </c:spPr>
          </c:dPt>
          <c:dPt>
            <c:idx val="1"/>
            <c:invertIfNegative val="0"/>
            <c:bubble3D val="0"/>
            <c:spPr>
              <a:solidFill>
                <a:schemeClr val="accent6"/>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chemeClr val="accent1"/>
              </a:solidFill>
            </c:spPr>
          </c:dPt>
          <c:dPt>
            <c:idx val="5"/>
            <c:invertIfNegative val="0"/>
            <c:bubble3D val="0"/>
            <c:spPr>
              <a:solidFill>
                <a:schemeClr val="accent6"/>
              </a:solidFill>
            </c:spPr>
          </c:dPt>
          <c:dPt>
            <c:idx val="6"/>
            <c:invertIfNegative val="0"/>
            <c:bubble3D val="0"/>
            <c:spPr>
              <a:solidFill>
                <a:schemeClr val="accent1"/>
              </a:solidFill>
            </c:spPr>
          </c:dPt>
          <c:dPt>
            <c:idx val="7"/>
            <c:invertIfNegative val="0"/>
            <c:bubble3D val="0"/>
            <c:spPr>
              <a:solidFill>
                <a:schemeClr val="accent6"/>
              </a:solidFill>
            </c:spPr>
          </c:dPt>
          <c:dPt>
            <c:idx val="8"/>
            <c:invertIfNegative val="0"/>
            <c:bubble3D val="0"/>
            <c:spPr>
              <a:solidFill>
                <a:schemeClr val="accent1"/>
              </a:solidFill>
            </c:spPr>
          </c:dPt>
          <c:dPt>
            <c:idx val="9"/>
            <c:invertIfNegative val="0"/>
            <c:bubble3D val="0"/>
            <c:spPr>
              <a:solidFill>
                <a:schemeClr val="accent6"/>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(NIH!$B$7:$C$8,NIH!$B$10:$C$11,NIH!$B$13:$C$14,NIH!$B$16:$C$17,NIH!$B$19:$C$20)</c:f>
              <c:strCache>
                <c:ptCount val="10"/>
                <c:pt idx="0">
                  <c:v>White Male</c:v>
                </c:pt>
                <c:pt idx="1">
                  <c:v>White Female</c:v>
                </c:pt>
                <c:pt idx="2">
                  <c:v>Black Male</c:v>
                </c:pt>
                <c:pt idx="3">
                  <c:v>Black Female</c:v>
                </c:pt>
                <c:pt idx="4">
                  <c:v>Hispanic Male</c:v>
                </c:pt>
                <c:pt idx="5">
                  <c:v>Hispanic Female</c:v>
                </c:pt>
                <c:pt idx="6">
                  <c:v>Asian/Pacific Islander Male</c:v>
                </c:pt>
                <c:pt idx="7">
                  <c:v>Asian/Pacific Islander Female</c:v>
                </c:pt>
                <c:pt idx="8">
                  <c:v>AI/AN Male</c:v>
                </c:pt>
                <c:pt idx="9">
                  <c:v>AI/AN Female</c:v>
                </c:pt>
              </c:strCache>
            </c:strRef>
          </c:cat>
          <c:val>
            <c:numRef>
              <c:f>(NIH!$E$7:$E$8,NIH!$E$10:$E$11,NIH!$E$13:$E$14,NIH!$E$16:$E$17,NIH!$E$19:$E$20)</c:f>
              <c:numCache>
                <c:formatCode>0.0%</c:formatCode>
                <c:ptCount val="10"/>
                <c:pt idx="0">
                  <c:v>0.36299999999999999</c:v>
                </c:pt>
                <c:pt idx="1">
                  <c:v>0.251</c:v>
                </c:pt>
                <c:pt idx="2">
                  <c:v>8.9999999999999993E-3</c:v>
                </c:pt>
                <c:pt idx="3">
                  <c:v>5.0000000000000001E-3</c:v>
                </c:pt>
                <c:pt idx="4">
                  <c:v>1.4E-2</c:v>
                </c:pt>
                <c:pt idx="5">
                  <c:v>3.3000000000000002E-2</c:v>
                </c:pt>
                <c:pt idx="6">
                  <c:v>0.23300000000000001</c:v>
                </c:pt>
                <c:pt idx="7">
                  <c:v>8.7999999999999995E-2</c:v>
                </c:pt>
                <c:pt idx="8">
                  <c:v>0</c:v>
                </c:pt>
                <c:pt idx="9">
                  <c:v>5.0000000000000001E-3</c:v>
                </c:pt>
              </c:numCache>
            </c:numRef>
          </c:val>
        </c:ser>
        <c:dLbls>
          <c:showLegendKey val="0"/>
          <c:showVal val="0"/>
          <c:showCatName val="0"/>
          <c:showSerName val="0"/>
          <c:showPercent val="0"/>
          <c:showBubbleSize val="0"/>
        </c:dLbls>
        <c:gapWidth val="75"/>
        <c:overlap val="-25"/>
        <c:axId val="285565288"/>
        <c:axId val="285565680"/>
      </c:barChart>
      <c:catAx>
        <c:axId val="285565288"/>
        <c:scaling>
          <c:orientation val="minMax"/>
        </c:scaling>
        <c:delete val="0"/>
        <c:axPos val="b"/>
        <c:numFmt formatCode="General" sourceLinked="0"/>
        <c:majorTickMark val="none"/>
        <c:minorTickMark val="none"/>
        <c:tickLblPos val="nextTo"/>
        <c:crossAx val="285565680"/>
        <c:crosses val="autoZero"/>
        <c:auto val="1"/>
        <c:lblAlgn val="ctr"/>
        <c:lblOffset val="100"/>
        <c:noMultiLvlLbl val="0"/>
      </c:catAx>
      <c:valAx>
        <c:axId val="285565680"/>
        <c:scaling>
          <c:orientation val="minMax"/>
        </c:scaling>
        <c:delete val="0"/>
        <c:axPos val="l"/>
        <c:numFmt formatCode="0.0%" sourceLinked="1"/>
        <c:majorTickMark val="none"/>
        <c:minorTickMark val="none"/>
        <c:tickLblPos val="nextTo"/>
        <c:spPr>
          <a:ln w="9525">
            <a:noFill/>
          </a:ln>
        </c:spPr>
        <c:crossAx val="285565288"/>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NIH Senior Investigator Workforce by Disability Status as of October 1, 2014</a:t>
            </a:r>
          </a:p>
          <a:p>
            <a:pPr>
              <a:defRPr sz="1200"/>
            </a:pPr>
            <a:r>
              <a:rPr lang="en-US" sz="900" b="1" i="0" u="none" strike="noStrike" baseline="0">
                <a:effectLst/>
              </a:rPr>
              <a:t>Includes Foreign Nationals </a:t>
            </a:r>
            <a:endParaRPr lang="en-US" sz="900">
              <a:effectLst/>
            </a:endParaRPr>
          </a:p>
        </c:rich>
      </c:tx>
      <c:overlay val="0"/>
    </c:title>
    <c:autoTitleDeleted val="0"/>
    <c:plotArea>
      <c:layout/>
      <c:barChart>
        <c:barDir val="col"/>
        <c:grouping val="clustered"/>
        <c:varyColors val="0"/>
        <c:ser>
          <c:idx val="1"/>
          <c:order val="0"/>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NIH!$I$68:$M$68</c:f>
              <c:strCache>
                <c:ptCount val="5"/>
                <c:pt idx="0">
                  <c:v>Not Identified</c:v>
                </c:pt>
                <c:pt idx="1">
                  <c:v>No Disability</c:v>
                </c:pt>
                <c:pt idx="2">
                  <c:v>Reportable Disability</c:v>
                </c:pt>
                <c:pt idx="3">
                  <c:v>Targeted Disability</c:v>
                </c:pt>
                <c:pt idx="4">
                  <c:v>Unknown</c:v>
                </c:pt>
              </c:strCache>
            </c:strRef>
          </c:cat>
          <c:val>
            <c:numRef>
              <c:f>NIH!$I$70:$M$70</c:f>
              <c:numCache>
                <c:formatCode>0.0%</c:formatCode>
                <c:ptCount val="5"/>
                <c:pt idx="0">
                  <c:v>6.0999999999999999E-2</c:v>
                </c:pt>
                <c:pt idx="1">
                  <c:v>0.88800000000000001</c:v>
                </c:pt>
                <c:pt idx="2">
                  <c:v>5.0999999999999997E-2</c:v>
                </c:pt>
                <c:pt idx="3">
                  <c:v>4.0000000000000001E-3</c:v>
                </c:pt>
                <c:pt idx="4">
                  <c:v>4.0000000000000001E-3</c:v>
                </c:pt>
              </c:numCache>
            </c:numRef>
          </c:val>
        </c:ser>
        <c:dLbls>
          <c:showLegendKey val="0"/>
          <c:showVal val="1"/>
          <c:showCatName val="0"/>
          <c:showSerName val="0"/>
          <c:showPercent val="0"/>
          <c:showBubbleSize val="0"/>
        </c:dLbls>
        <c:gapWidth val="150"/>
        <c:overlap val="-25"/>
        <c:axId val="285566464"/>
        <c:axId val="285566856"/>
      </c:barChart>
      <c:catAx>
        <c:axId val="285566464"/>
        <c:scaling>
          <c:orientation val="minMax"/>
        </c:scaling>
        <c:delete val="0"/>
        <c:axPos val="b"/>
        <c:numFmt formatCode="General" sourceLinked="0"/>
        <c:majorTickMark val="none"/>
        <c:minorTickMark val="none"/>
        <c:tickLblPos val="nextTo"/>
        <c:crossAx val="285566856"/>
        <c:crosses val="autoZero"/>
        <c:auto val="1"/>
        <c:lblAlgn val="ctr"/>
        <c:lblOffset val="100"/>
        <c:noMultiLvlLbl val="0"/>
      </c:catAx>
      <c:valAx>
        <c:axId val="285566856"/>
        <c:scaling>
          <c:orientation val="minMax"/>
        </c:scaling>
        <c:delete val="1"/>
        <c:axPos val="l"/>
        <c:numFmt formatCode="0.0%" sourceLinked="1"/>
        <c:majorTickMark val="out"/>
        <c:minorTickMark val="none"/>
        <c:tickLblPos val="nextTo"/>
        <c:crossAx val="2855664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i="0" baseline="0">
                <a:effectLst/>
              </a:rPr>
              <a:t>FY 2014 NIH Permanent Workforce Distribution </a:t>
            </a:r>
          </a:p>
          <a:p>
            <a:pPr>
              <a:defRPr/>
            </a:pPr>
            <a:r>
              <a:rPr lang="en-US" sz="1000" b="1" i="0" baseline="0">
                <a:effectLst/>
              </a:rPr>
              <a:t>by Race/Ethnicity and Sex </a:t>
            </a:r>
            <a:br>
              <a:rPr lang="en-US" sz="1000" b="1" i="0" baseline="0">
                <a:effectLst/>
              </a:rPr>
            </a:br>
            <a:r>
              <a:rPr lang="en-US" sz="1000" b="1" i="0" baseline="0">
                <a:effectLst/>
              </a:rPr>
              <a:t>(Excludes CC and EI Pay Plans)</a:t>
            </a:r>
            <a:endParaRPr lang="en-US" sz="1000">
              <a:effectLst/>
            </a:endParaRPr>
          </a:p>
        </c:rich>
      </c:tx>
      <c:overlay val="0"/>
    </c:title>
    <c:autoTitleDeleted val="0"/>
    <c:plotArea>
      <c:layout/>
      <c:barChart>
        <c:barDir val="col"/>
        <c:grouping val="clustered"/>
        <c:varyColors val="0"/>
        <c:ser>
          <c:idx val="0"/>
          <c:order val="0"/>
          <c:tx>
            <c:v>Perm</c:v>
          </c:tx>
          <c:invertIfNegative val="0"/>
          <c:cat>
            <c:strRef>
              <c:f>'NIH P T RNO G FY 14 '!$A$16:$A$25</c:f>
              <c:strCache>
                <c:ptCount val="10"/>
                <c:pt idx="0">
                  <c:v>Hispanic Male</c:v>
                </c:pt>
                <c:pt idx="1">
                  <c:v>Hispanic Female</c:v>
                </c:pt>
                <c:pt idx="2">
                  <c:v>White Male</c:v>
                </c:pt>
                <c:pt idx="3">
                  <c:v>White Female</c:v>
                </c:pt>
                <c:pt idx="4">
                  <c:v>Black Male</c:v>
                </c:pt>
                <c:pt idx="5">
                  <c:v>Black Female</c:v>
                </c:pt>
                <c:pt idx="6">
                  <c:v>Asian Male</c:v>
                </c:pt>
                <c:pt idx="7">
                  <c:v>Asian Female</c:v>
                </c:pt>
                <c:pt idx="8">
                  <c:v>AI/AN Male</c:v>
                </c:pt>
                <c:pt idx="9">
                  <c:v>AI/AN Female</c:v>
                </c:pt>
              </c:strCache>
            </c:strRef>
          </c:cat>
          <c:val>
            <c:numRef>
              <c:f>'NIH P T RNO G FY 14 '!$B$16:$B$25</c:f>
              <c:numCache>
                <c:formatCode>0.0%</c:formatCode>
                <c:ptCount val="10"/>
                <c:pt idx="0">
                  <c:v>1.2E-2</c:v>
                </c:pt>
                <c:pt idx="1">
                  <c:v>1.7999999999999999E-2</c:v>
                </c:pt>
                <c:pt idx="2">
                  <c:v>0.23</c:v>
                </c:pt>
                <c:pt idx="3">
                  <c:v>0.35199999999999998</c:v>
                </c:pt>
                <c:pt idx="4">
                  <c:v>7.1999999999999995E-2</c:v>
                </c:pt>
                <c:pt idx="5">
                  <c:v>0.17499999999999999</c:v>
                </c:pt>
                <c:pt idx="6">
                  <c:v>5.1999999999999998E-2</c:v>
                </c:pt>
                <c:pt idx="7">
                  <c:v>8.3000000000000004E-2</c:v>
                </c:pt>
                <c:pt idx="8">
                  <c:v>2E-3</c:v>
                </c:pt>
                <c:pt idx="9">
                  <c:v>5.0000000000000001E-3</c:v>
                </c:pt>
              </c:numCache>
            </c:numRef>
          </c:val>
        </c:ser>
        <c:ser>
          <c:idx val="2"/>
          <c:order val="1"/>
          <c:tx>
            <c:v>CLF</c:v>
          </c:tx>
          <c:invertIfNegative val="0"/>
          <c:cat>
            <c:strRef>
              <c:f>'NIH P T RNO G FY 14 '!$A$16:$A$25</c:f>
              <c:strCache>
                <c:ptCount val="10"/>
                <c:pt idx="0">
                  <c:v>Hispanic Male</c:v>
                </c:pt>
                <c:pt idx="1">
                  <c:v>Hispanic Female</c:v>
                </c:pt>
                <c:pt idx="2">
                  <c:v>White Male</c:v>
                </c:pt>
                <c:pt idx="3">
                  <c:v>White Female</c:v>
                </c:pt>
                <c:pt idx="4">
                  <c:v>Black Male</c:v>
                </c:pt>
                <c:pt idx="5">
                  <c:v>Black Female</c:v>
                </c:pt>
                <c:pt idx="6">
                  <c:v>Asian Male</c:v>
                </c:pt>
                <c:pt idx="7">
                  <c:v>Asian Female</c:v>
                </c:pt>
                <c:pt idx="8">
                  <c:v>AI/AN Male</c:v>
                </c:pt>
                <c:pt idx="9">
                  <c:v>AI/AN Female</c:v>
                </c:pt>
              </c:strCache>
            </c:strRef>
          </c:cat>
          <c:val>
            <c:numRef>
              <c:f>'NIH P T RNO G FY 14 '!$D$16:$D$25</c:f>
              <c:numCache>
                <c:formatCode>0.0%</c:formatCode>
                <c:ptCount val="10"/>
                <c:pt idx="0">
                  <c:v>5.1999999999999998E-2</c:v>
                </c:pt>
                <c:pt idx="1">
                  <c:v>4.8000000000000001E-2</c:v>
                </c:pt>
                <c:pt idx="2">
                  <c:v>0.38300000000000001</c:v>
                </c:pt>
                <c:pt idx="3">
                  <c:v>0.34</c:v>
                </c:pt>
                <c:pt idx="4">
                  <c:v>5.5E-2</c:v>
                </c:pt>
                <c:pt idx="5">
                  <c:v>6.5000000000000002E-2</c:v>
                </c:pt>
                <c:pt idx="6">
                  <c:v>0.02</c:v>
                </c:pt>
                <c:pt idx="7">
                  <c:v>1.9E-2</c:v>
                </c:pt>
                <c:pt idx="8">
                  <c:v>6.0000000000000001E-3</c:v>
                </c:pt>
                <c:pt idx="9">
                  <c:v>5.0000000000000001E-3</c:v>
                </c:pt>
              </c:numCache>
            </c:numRef>
          </c:val>
        </c:ser>
        <c:dLbls>
          <c:showLegendKey val="0"/>
          <c:showVal val="0"/>
          <c:showCatName val="0"/>
          <c:showSerName val="0"/>
          <c:showPercent val="0"/>
          <c:showBubbleSize val="0"/>
        </c:dLbls>
        <c:gapWidth val="150"/>
        <c:axId val="279360128"/>
        <c:axId val="279360520"/>
      </c:barChart>
      <c:catAx>
        <c:axId val="279360128"/>
        <c:scaling>
          <c:orientation val="minMax"/>
        </c:scaling>
        <c:delete val="0"/>
        <c:axPos val="b"/>
        <c:numFmt formatCode="General" sourceLinked="0"/>
        <c:majorTickMark val="out"/>
        <c:minorTickMark val="none"/>
        <c:tickLblPos val="nextTo"/>
        <c:crossAx val="279360520"/>
        <c:crosses val="autoZero"/>
        <c:auto val="1"/>
        <c:lblAlgn val="ctr"/>
        <c:lblOffset val="100"/>
        <c:noMultiLvlLbl val="0"/>
      </c:catAx>
      <c:valAx>
        <c:axId val="279360520"/>
        <c:scaling>
          <c:orientation val="minMax"/>
        </c:scaling>
        <c:delete val="0"/>
        <c:axPos val="l"/>
        <c:majorGridlines>
          <c:spPr>
            <a:ln>
              <a:noFill/>
            </a:ln>
          </c:spPr>
        </c:majorGridlines>
        <c:numFmt formatCode="0.0%" sourceLinked="1"/>
        <c:majorTickMark val="out"/>
        <c:minorTickMark val="none"/>
        <c:tickLblPos val="nextTo"/>
        <c:crossAx val="279360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b="1" i="0" baseline="0">
                <a:effectLst/>
              </a:rPr>
              <a:t>FY 2014 NIH Temporary Workforce Distribution </a:t>
            </a:r>
            <a:endParaRPr lang="en-US" sz="1000">
              <a:effectLst/>
            </a:endParaRPr>
          </a:p>
          <a:p>
            <a:pPr>
              <a:defRPr sz="1200"/>
            </a:pPr>
            <a:r>
              <a:rPr lang="en-US" sz="1000" b="1" i="0" baseline="0">
                <a:effectLst/>
              </a:rPr>
              <a:t>by Race/Ethnicity and Sex</a:t>
            </a:r>
          </a:p>
          <a:p>
            <a:pPr>
              <a:defRPr sz="1200"/>
            </a:pPr>
            <a:r>
              <a:rPr lang="en-US" sz="1000" b="1" i="0" baseline="0">
                <a:effectLst/>
              </a:rPr>
              <a:t>(Excludes CC and EI Pay Plans)</a:t>
            </a:r>
            <a:endParaRPr lang="en-US" sz="1000">
              <a:effectLst/>
            </a:endParaRPr>
          </a:p>
        </c:rich>
      </c:tx>
      <c:overlay val="0"/>
    </c:title>
    <c:autoTitleDeleted val="0"/>
    <c:plotArea>
      <c:layout/>
      <c:barChart>
        <c:barDir val="col"/>
        <c:grouping val="clustered"/>
        <c:varyColors val="0"/>
        <c:ser>
          <c:idx val="1"/>
          <c:order val="0"/>
          <c:tx>
            <c:v>Temp</c:v>
          </c:tx>
          <c:spPr>
            <a:solidFill>
              <a:schemeClr val="accent1"/>
            </a:solidFill>
          </c:spPr>
          <c:invertIfNegative val="0"/>
          <c:cat>
            <c:strRef>
              <c:f>'NIH P T RNO G FY 14 '!$A$16:$A$25</c:f>
              <c:strCache>
                <c:ptCount val="10"/>
                <c:pt idx="0">
                  <c:v>Hispanic Male</c:v>
                </c:pt>
                <c:pt idx="1">
                  <c:v>Hispanic Female</c:v>
                </c:pt>
                <c:pt idx="2">
                  <c:v>White Male</c:v>
                </c:pt>
                <c:pt idx="3">
                  <c:v>White Female</c:v>
                </c:pt>
                <c:pt idx="4">
                  <c:v>Black Male</c:v>
                </c:pt>
                <c:pt idx="5">
                  <c:v>Black Female</c:v>
                </c:pt>
                <c:pt idx="6">
                  <c:v>Asian Male</c:v>
                </c:pt>
                <c:pt idx="7">
                  <c:v>Asian Female</c:v>
                </c:pt>
                <c:pt idx="8">
                  <c:v>AI/AN Male</c:v>
                </c:pt>
                <c:pt idx="9">
                  <c:v>AI/AN Female</c:v>
                </c:pt>
              </c:strCache>
            </c:strRef>
          </c:cat>
          <c:val>
            <c:numRef>
              <c:f>'NIH P T RNO G FY 14 '!$C$16:$C$25</c:f>
              <c:numCache>
                <c:formatCode>0.0%</c:formatCode>
                <c:ptCount val="10"/>
                <c:pt idx="0">
                  <c:v>1.7000000000000001E-2</c:v>
                </c:pt>
                <c:pt idx="1">
                  <c:v>1.2999999999999999E-2</c:v>
                </c:pt>
                <c:pt idx="2">
                  <c:v>0.35499999999999998</c:v>
                </c:pt>
                <c:pt idx="3">
                  <c:v>0.25</c:v>
                </c:pt>
                <c:pt idx="4">
                  <c:v>2.3E-2</c:v>
                </c:pt>
                <c:pt idx="5">
                  <c:v>4.4999999999999998E-2</c:v>
                </c:pt>
                <c:pt idx="6">
                  <c:v>0.17499999999999999</c:v>
                </c:pt>
                <c:pt idx="7">
                  <c:v>0.12</c:v>
                </c:pt>
                <c:pt idx="8">
                  <c:v>1E-3</c:v>
                </c:pt>
                <c:pt idx="9">
                  <c:v>1E-3</c:v>
                </c:pt>
              </c:numCache>
            </c:numRef>
          </c:val>
        </c:ser>
        <c:ser>
          <c:idx val="2"/>
          <c:order val="1"/>
          <c:tx>
            <c:v>CLF</c:v>
          </c:tx>
          <c:invertIfNegative val="0"/>
          <c:cat>
            <c:strRef>
              <c:f>'NIH P T RNO G FY 14 '!$A$16:$A$25</c:f>
              <c:strCache>
                <c:ptCount val="10"/>
                <c:pt idx="0">
                  <c:v>Hispanic Male</c:v>
                </c:pt>
                <c:pt idx="1">
                  <c:v>Hispanic Female</c:v>
                </c:pt>
                <c:pt idx="2">
                  <c:v>White Male</c:v>
                </c:pt>
                <c:pt idx="3">
                  <c:v>White Female</c:v>
                </c:pt>
                <c:pt idx="4">
                  <c:v>Black Male</c:v>
                </c:pt>
                <c:pt idx="5">
                  <c:v>Black Female</c:v>
                </c:pt>
                <c:pt idx="6">
                  <c:v>Asian Male</c:v>
                </c:pt>
                <c:pt idx="7">
                  <c:v>Asian Female</c:v>
                </c:pt>
                <c:pt idx="8">
                  <c:v>AI/AN Male</c:v>
                </c:pt>
                <c:pt idx="9">
                  <c:v>AI/AN Female</c:v>
                </c:pt>
              </c:strCache>
            </c:strRef>
          </c:cat>
          <c:val>
            <c:numRef>
              <c:f>'NIH P T RNO G FY 14 '!$D$16:$D$25</c:f>
              <c:numCache>
                <c:formatCode>0.0%</c:formatCode>
                <c:ptCount val="10"/>
                <c:pt idx="0">
                  <c:v>5.1999999999999998E-2</c:v>
                </c:pt>
                <c:pt idx="1">
                  <c:v>4.8000000000000001E-2</c:v>
                </c:pt>
                <c:pt idx="2">
                  <c:v>0.38300000000000001</c:v>
                </c:pt>
                <c:pt idx="3">
                  <c:v>0.34</c:v>
                </c:pt>
                <c:pt idx="4">
                  <c:v>5.5E-2</c:v>
                </c:pt>
                <c:pt idx="5">
                  <c:v>6.5000000000000002E-2</c:v>
                </c:pt>
                <c:pt idx="6">
                  <c:v>0.02</c:v>
                </c:pt>
                <c:pt idx="7">
                  <c:v>1.9E-2</c:v>
                </c:pt>
                <c:pt idx="8">
                  <c:v>6.0000000000000001E-3</c:v>
                </c:pt>
                <c:pt idx="9">
                  <c:v>5.0000000000000001E-3</c:v>
                </c:pt>
              </c:numCache>
            </c:numRef>
          </c:val>
        </c:ser>
        <c:dLbls>
          <c:showLegendKey val="0"/>
          <c:showVal val="0"/>
          <c:showCatName val="0"/>
          <c:showSerName val="0"/>
          <c:showPercent val="0"/>
          <c:showBubbleSize val="0"/>
        </c:dLbls>
        <c:gapWidth val="150"/>
        <c:axId val="279361696"/>
        <c:axId val="279362088"/>
      </c:barChart>
      <c:catAx>
        <c:axId val="279361696"/>
        <c:scaling>
          <c:orientation val="minMax"/>
        </c:scaling>
        <c:delete val="0"/>
        <c:axPos val="b"/>
        <c:numFmt formatCode="General" sourceLinked="0"/>
        <c:majorTickMark val="out"/>
        <c:minorTickMark val="none"/>
        <c:tickLblPos val="nextTo"/>
        <c:crossAx val="279362088"/>
        <c:crosses val="autoZero"/>
        <c:auto val="1"/>
        <c:lblAlgn val="ctr"/>
        <c:lblOffset val="100"/>
        <c:noMultiLvlLbl val="0"/>
      </c:catAx>
      <c:valAx>
        <c:axId val="279362088"/>
        <c:scaling>
          <c:orientation val="minMax"/>
        </c:scaling>
        <c:delete val="0"/>
        <c:axPos val="l"/>
        <c:majorGridlines>
          <c:spPr>
            <a:ln>
              <a:noFill/>
            </a:ln>
          </c:spPr>
        </c:majorGridlines>
        <c:numFmt formatCode="0.0%" sourceLinked="1"/>
        <c:majorTickMark val="out"/>
        <c:minorTickMark val="none"/>
        <c:tickLblPos val="nextTo"/>
        <c:crossAx val="2793616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Calibri"/>
                <a:cs typeface="Calibri"/>
              </a:rPr>
              <a:t>FY 2014 NIH Permanent Workforce by Sex</a:t>
            </a:r>
          </a:p>
          <a:p>
            <a:pPr>
              <a:defRPr/>
            </a:pPr>
            <a:r>
              <a:rPr lang="en-US" sz="1000" baseline="0">
                <a:latin typeface="Calibri"/>
                <a:cs typeface="Calibri"/>
              </a:rPr>
              <a:t>C</a:t>
            </a:r>
            <a:r>
              <a:rPr lang="en-US" sz="1000">
                <a:latin typeface="Calibri"/>
                <a:cs typeface="Calibri"/>
              </a:rPr>
              <a:t>ompared to  2010 CLF</a:t>
            </a:r>
          </a:p>
        </c:rich>
      </c:tx>
      <c:overlay val="0"/>
    </c:title>
    <c:autoTitleDeleted val="0"/>
    <c:plotArea>
      <c:layout/>
      <c:barChart>
        <c:barDir val="col"/>
        <c:grouping val="clustered"/>
        <c:varyColors val="0"/>
        <c:ser>
          <c:idx val="0"/>
          <c:order val="0"/>
          <c:tx>
            <c:strRef>
              <c:f>'G vs CLF'!$B$1</c:f>
              <c:strCache>
                <c:ptCount val="1"/>
                <c:pt idx="0">
                  <c:v>NIH</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 vs CLF'!$A$2:$A$3</c:f>
              <c:strCache>
                <c:ptCount val="2"/>
                <c:pt idx="0">
                  <c:v>Male</c:v>
                </c:pt>
                <c:pt idx="1">
                  <c:v>Female</c:v>
                </c:pt>
              </c:strCache>
            </c:strRef>
          </c:cat>
          <c:val>
            <c:numRef>
              <c:f>'G vs CLF'!$B$2:$B$3</c:f>
              <c:numCache>
                <c:formatCode>0.0%</c:formatCode>
                <c:ptCount val="2"/>
                <c:pt idx="0">
                  <c:v>0.36799999999999999</c:v>
                </c:pt>
                <c:pt idx="1">
                  <c:v>0.63200000000000001</c:v>
                </c:pt>
              </c:numCache>
            </c:numRef>
          </c:val>
        </c:ser>
        <c:dLbls>
          <c:showLegendKey val="0"/>
          <c:showVal val="0"/>
          <c:showCatName val="0"/>
          <c:showSerName val="0"/>
          <c:showPercent val="0"/>
          <c:showBubbleSize val="0"/>
        </c:dLbls>
        <c:gapWidth val="150"/>
        <c:axId val="279363264"/>
        <c:axId val="279363656"/>
      </c:barChart>
      <c:lineChart>
        <c:grouping val="standard"/>
        <c:varyColors val="0"/>
        <c:ser>
          <c:idx val="1"/>
          <c:order val="1"/>
          <c:tx>
            <c:strRef>
              <c:f>'G vs CLF'!$C$1</c:f>
              <c:strCache>
                <c:ptCount val="1"/>
                <c:pt idx="0">
                  <c:v>CLF</c:v>
                </c:pt>
              </c:strCache>
            </c:strRef>
          </c:tx>
          <c:spPr>
            <a:ln>
              <a:noFill/>
            </a:ln>
          </c:spPr>
          <c:marker>
            <c:symbol val="dash"/>
            <c:size val="54"/>
            <c:spPr>
              <a:solidFill>
                <a:srgbClr val="FF0000"/>
              </a:solidFill>
            </c:spPr>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 vs CLF'!$A$2:$A$3</c:f>
              <c:strCache>
                <c:ptCount val="2"/>
                <c:pt idx="0">
                  <c:v>Male</c:v>
                </c:pt>
                <c:pt idx="1">
                  <c:v>Female</c:v>
                </c:pt>
              </c:strCache>
            </c:strRef>
          </c:cat>
          <c:val>
            <c:numRef>
              <c:f>'G vs CLF'!$C$2:$C$3</c:f>
              <c:numCache>
                <c:formatCode>0.0%</c:formatCode>
                <c:ptCount val="2"/>
                <c:pt idx="0">
                  <c:v>0.51859999999999995</c:v>
                </c:pt>
                <c:pt idx="1">
                  <c:v>0.48139999999999999</c:v>
                </c:pt>
              </c:numCache>
            </c:numRef>
          </c:val>
          <c:smooth val="0"/>
        </c:ser>
        <c:dLbls>
          <c:showLegendKey val="0"/>
          <c:showVal val="0"/>
          <c:showCatName val="0"/>
          <c:showSerName val="0"/>
          <c:showPercent val="0"/>
          <c:showBubbleSize val="0"/>
        </c:dLbls>
        <c:marker val="1"/>
        <c:smooth val="0"/>
        <c:axId val="279363264"/>
        <c:axId val="279363656"/>
      </c:lineChart>
      <c:catAx>
        <c:axId val="279363264"/>
        <c:scaling>
          <c:orientation val="minMax"/>
        </c:scaling>
        <c:delete val="0"/>
        <c:axPos val="b"/>
        <c:numFmt formatCode="General" sourceLinked="0"/>
        <c:majorTickMark val="out"/>
        <c:minorTickMark val="none"/>
        <c:tickLblPos val="nextTo"/>
        <c:txPr>
          <a:bodyPr/>
          <a:lstStyle/>
          <a:p>
            <a:pPr>
              <a:defRPr sz="800"/>
            </a:pPr>
            <a:endParaRPr lang="en-US"/>
          </a:p>
        </c:txPr>
        <c:crossAx val="279363656"/>
        <c:crosses val="autoZero"/>
        <c:auto val="1"/>
        <c:lblAlgn val="ctr"/>
        <c:lblOffset val="100"/>
        <c:noMultiLvlLbl val="0"/>
      </c:catAx>
      <c:valAx>
        <c:axId val="279363656"/>
        <c:scaling>
          <c:orientation val="minMax"/>
        </c:scaling>
        <c:delete val="0"/>
        <c:axPos val="l"/>
        <c:majorGridlines>
          <c:spPr>
            <a:ln>
              <a:noFill/>
            </a:ln>
          </c:spPr>
        </c:majorGridlines>
        <c:numFmt formatCode="0.0%" sourceLinked="1"/>
        <c:majorTickMark val="out"/>
        <c:minorTickMark val="none"/>
        <c:tickLblPos val="nextTo"/>
        <c:txPr>
          <a:bodyPr/>
          <a:lstStyle/>
          <a:p>
            <a:pPr>
              <a:defRPr sz="800"/>
            </a:pPr>
            <a:endParaRPr lang="en-US"/>
          </a:p>
        </c:txPr>
        <c:crossAx val="279363264"/>
        <c:crosses val="autoZero"/>
        <c:crossBetween val="between"/>
      </c:valAx>
    </c:plotArea>
    <c:legend>
      <c:legendPos val="t"/>
      <c:overlay val="0"/>
      <c:txPr>
        <a:bodyPr/>
        <a:lstStyle/>
        <a:p>
          <a:pPr>
            <a:defRPr sz="11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Calibri"/>
                <a:cs typeface="Calibri"/>
              </a:rPr>
              <a:t>FY 2014 NIH Temporary Workforce by Sex</a:t>
            </a:r>
          </a:p>
          <a:p>
            <a:pPr>
              <a:defRPr/>
            </a:pPr>
            <a:r>
              <a:rPr lang="en-US" sz="1000" baseline="0">
                <a:latin typeface="Calibri"/>
                <a:cs typeface="Calibri"/>
              </a:rPr>
              <a:t>C</a:t>
            </a:r>
            <a:r>
              <a:rPr lang="en-US" sz="1000">
                <a:latin typeface="Calibri"/>
                <a:cs typeface="Calibri"/>
              </a:rPr>
              <a:t>ompared to  2010 CLF</a:t>
            </a:r>
          </a:p>
        </c:rich>
      </c:tx>
      <c:overlay val="0"/>
    </c:title>
    <c:autoTitleDeleted val="0"/>
    <c:plotArea>
      <c:layout>
        <c:manualLayout>
          <c:layoutTarget val="inner"/>
          <c:xMode val="edge"/>
          <c:yMode val="edge"/>
          <c:x val="6.5396003131187597E-2"/>
          <c:y val="0.33148230065849799"/>
          <c:w val="0.91706013721969004"/>
          <c:h val="0.59806835292949201"/>
        </c:manualLayout>
      </c:layout>
      <c:barChart>
        <c:barDir val="col"/>
        <c:grouping val="clustered"/>
        <c:varyColors val="0"/>
        <c:ser>
          <c:idx val="0"/>
          <c:order val="0"/>
          <c:tx>
            <c:strRef>
              <c:f>'[Chart in Microsoft Word]G vs CLF'!$B$26</c:f>
              <c:strCache>
                <c:ptCount val="1"/>
                <c:pt idx="0">
                  <c:v>NIH</c:v>
                </c:pt>
              </c:strCache>
            </c:strRef>
          </c:tx>
          <c:invertIfNegative val="0"/>
          <c:dLbls>
            <c:spPr>
              <a:noFill/>
              <a:ln>
                <a:noFill/>
              </a:ln>
              <a:effectLst/>
            </c:spPr>
            <c:txPr>
              <a:bodyPr/>
              <a:lstStyle/>
              <a:p>
                <a:pPr>
                  <a:defRPr>
                    <a:solidFill>
                      <a:sysClr val="windowText" lastClr="000000"/>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 vs CLF'!$A$27:$A$28</c:f>
              <c:strCache>
                <c:ptCount val="2"/>
                <c:pt idx="0">
                  <c:v>Male</c:v>
                </c:pt>
                <c:pt idx="1">
                  <c:v>Female</c:v>
                </c:pt>
              </c:strCache>
            </c:strRef>
          </c:cat>
          <c:val>
            <c:numRef>
              <c:f>'[Chart in Microsoft Word]G vs CLF'!$B$27:$B$28</c:f>
              <c:numCache>
                <c:formatCode>0.0%</c:formatCode>
                <c:ptCount val="2"/>
                <c:pt idx="0">
                  <c:v>0.5716</c:v>
                </c:pt>
                <c:pt idx="1">
                  <c:v>0.4284</c:v>
                </c:pt>
              </c:numCache>
            </c:numRef>
          </c:val>
        </c:ser>
        <c:dLbls>
          <c:showLegendKey val="0"/>
          <c:showVal val="1"/>
          <c:showCatName val="0"/>
          <c:showSerName val="0"/>
          <c:showPercent val="0"/>
          <c:showBubbleSize val="0"/>
        </c:dLbls>
        <c:gapWidth val="150"/>
        <c:axId val="279364440"/>
        <c:axId val="279364832"/>
      </c:barChart>
      <c:lineChart>
        <c:grouping val="standard"/>
        <c:varyColors val="0"/>
        <c:ser>
          <c:idx val="1"/>
          <c:order val="1"/>
          <c:tx>
            <c:strRef>
              <c:f>'[Chart in Microsoft Word]G vs CLF'!$C$26</c:f>
              <c:strCache>
                <c:ptCount val="1"/>
                <c:pt idx="0">
                  <c:v>CLF</c:v>
                </c:pt>
              </c:strCache>
            </c:strRef>
          </c:tx>
          <c:spPr>
            <a:ln>
              <a:noFill/>
            </a:ln>
          </c:spPr>
          <c:marker>
            <c:symbol val="dash"/>
            <c:size val="54"/>
            <c:spPr>
              <a:solidFill>
                <a:srgbClr val="FF0000"/>
              </a:solidFill>
            </c:spPr>
          </c:marker>
          <c:dLbls>
            <c:spPr>
              <a:noFill/>
              <a:ln>
                <a:noFill/>
              </a:ln>
              <a:effectLst/>
            </c:spPr>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 vs CLF'!$A$27:$A$28</c:f>
              <c:strCache>
                <c:ptCount val="2"/>
                <c:pt idx="0">
                  <c:v>Male</c:v>
                </c:pt>
                <c:pt idx="1">
                  <c:v>Female</c:v>
                </c:pt>
              </c:strCache>
            </c:strRef>
          </c:cat>
          <c:val>
            <c:numRef>
              <c:f>'[Chart in Microsoft Word]G vs CLF'!$C$27:$C$28</c:f>
              <c:numCache>
                <c:formatCode>0.0%</c:formatCode>
                <c:ptCount val="2"/>
                <c:pt idx="0">
                  <c:v>0.51859999999999995</c:v>
                </c:pt>
                <c:pt idx="1">
                  <c:v>0.48139999999999999</c:v>
                </c:pt>
              </c:numCache>
            </c:numRef>
          </c:val>
          <c:smooth val="0"/>
        </c:ser>
        <c:dLbls>
          <c:showLegendKey val="0"/>
          <c:showVal val="1"/>
          <c:showCatName val="0"/>
          <c:showSerName val="0"/>
          <c:showPercent val="0"/>
          <c:showBubbleSize val="0"/>
        </c:dLbls>
        <c:marker val="1"/>
        <c:smooth val="0"/>
        <c:axId val="279364440"/>
        <c:axId val="279364832"/>
      </c:lineChart>
      <c:catAx>
        <c:axId val="279364440"/>
        <c:scaling>
          <c:orientation val="minMax"/>
        </c:scaling>
        <c:delete val="0"/>
        <c:axPos val="b"/>
        <c:numFmt formatCode="General" sourceLinked="0"/>
        <c:majorTickMark val="out"/>
        <c:minorTickMark val="none"/>
        <c:tickLblPos val="nextTo"/>
        <c:txPr>
          <a:bodyPr/>
          <a:lstStyle/>
          <a:p>
            <a:pPr>
              <a:defRPr sz="800"/>
            </a:pPr>
            <a:endParaRPr lang="en-US"/>
          </a:p>
        </c:txPr>
        <c:crossAx val="279364832"/>
        <c:crosses val="autoZero"/>
        <c:auto val="1"/>
        <c:lblAlgn val="ctr"/>
        <c:lblOffset val="100"/>
        <c:noMultiLvlLbl val="0"/>
      </c:catAx>
      <c:valAx>
        <c:axId val="279364832"/>
        <c:scaling>
          <c:orientation val="minMax"/>
        </c:scaling>
        <c:delete val="0"/>
        <c:axPos val="l"/>
        <c:majorGridlines>
          <c:spPr>
            <a:ln>
              <a:noFill/>
            </a:ln>
          </c:spPr>
        </c:majorGridlines>
        <c:numFmt formatCode="0.0%" sourceLinked="1"/>
        <c:majorTickMark val="out"/>
        <c:minorTickMark val="none"/>
        <c:tickLblPos val="nextTo"/>
        <c:txPr>
          <a:bodyPr/>
          <a:lstStyle/>
          <a:p>
            <a:pPr>
              <a:defRPr sz="800"/>
            </a:pPr>
            <a:endParaRPr lang="en-US"/>
          </a:p>
        </c:txPr>
        <c:crossAx val="279364440"/>
        <c:crosses val="autoZero"/>
        <c:crossBetween val="between"/>
      </c:valAx>
    </c:plotArea>
    <c:legend>
      <c:legendPos val="t"/>
      <c:overlay val="0"/>
      <c:txPr>
        <a:bodyPr/>
        <a:lstStyle/>
        <a:p>
          <a:pPr>
            <a:defRPr sz="11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latin typeface="Calibri"/>
                <a:cs typeface="Calibri"/>
              </a:defRPr>
            </a:pPr>
            <a:r>
              <a:rPr lang="en-US" sz="1000" b="1">
                <a:latin typeface="Calibri"/>
                <a:cs typeface="Calibri"/>
              </a:rPr>
              <a:t>NIH Total Workforce by Disability Status as of 4th Q FY 2014 </a:t>
            </a:r>
          </a:p>
          <a:p>
            <a:pPr algn="ctr">
              <a:defRPr sz="1000">
                <a:latin typeface="Calibri"/>
                <a:cs typeface="Calibri"/>
              </a:defRPr>
            </a:pPr>
            <a:r>
              <a:rPr lang="en-US" sz="1000" b="1">
                <a:latin typeface="Calibri"/>
                <a:cs typeface="Calibri"/>
              </a:rPr>
              <a:t>(Excludes CC and EI Pay Plans)</a:t>
            </a:r>
            <a:r>
              <a:rPr lang="en-US" sz="1000" b="1" baseline="0">
                <a:latin typeface="Calibri"/>
                <a:cs typeface="Calibri"/>
              </a:rPr>
              <a:t>   </a:t>
            </a:r>
          </a:p>
          <a:p>
            <a:pPr algn="ctr">
              <a:defRPr sz="1000">
                <a:latin typeface="Calibri"/>
                <a:cs typeface="Calibri"/>
              </a:defRPr>
            </a:pPr>
            <a:endParaRPr lang="en-US" sz="1000" b="1">
              <a:latin typeface="Calibri"/>
              <a:cs typeface="Calibri"/>
            </a:endParaRPr>
          </a:p>
        </c:rich>
      </c:tx>
      <c:layout>
        <c:manualLayout>
          <c:xMode val="edge"/>
          <c:yMode val="edge"/>
          <c:x val="0.23101185516612299"/>
          <c:y val="1.8959072289300501E-2"/>
        </c:manualLayout>
      </c:layout>
      <c:overlay val="0"/>
    </c:title>
    <c:autoTitleDeleted val="0"/>
    <c:plotArea>
      <c:layout/>
      <c:barChart>
        <c:barDir val="col"/>
        <c:grouping val="clustered"/>
        <c:varyColors val="0"/>
        <c:ser>
          <c:idx val="0"/>
          <c:order val="0"/>
          <c:invertIfNegative val="0"/>
          <c:dPt>
            <c:idx val="4"/>
            <c:invertIfNegative val="0"/>
            <c:bubble3D val="0"/>
            <c:spPr>
              <a:solidFill>
                <a:schemeClr val="accent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P T Dis'!$A$2:$A$6</c:f>
              <c:strCache>
                <c:ptCount val="5"/>
                <c:pt idx="0">
                  <c:v>No Disability</c:v>
                </c:pt>
                <c:pt idx="1">
                  <c:v>Not Identified</c:v>
                </c:pt>
                <c:pt idx="2">
                  <c:v>All Disability</c:v>
                </c:pt>
                <c:pt idx="3">
                  <c:v>Targeted Disability</c:v>
                </c:pt>
                <c:pt idx="4">
                  <c:v>Federal Goal for Targeted Disability</c:v>
                </c:pt>
              </c:strCache>
            </c:strRef>
          </c:cat>
          <c:val>
            <c:numRef>
              <c:f>'Total P T Dis'!$C$2:$C$6</c:f>
              <c:numCache>
                <c:formatCode>0.0%</c:formatCode>
                <c:ptCount val="5"/>
                <c:pt idx="0">
                  <c:v>0.89859999999999995</c:v>
                </c:pt>
                <c:pt idx="1">
                  <c:v>3.09E-2</c:v>
                </c:pt>
                <c:pt idx="2">
                  <c:v>7.0499999999999993E-2</c:v>
                </c:pt>
                <c:pt idx="3">
                  <c:v>1.2200000000000001E-2</c:v>
                </c:pt>
                <c:pt idx="4">
                  <c:v>0.02</c:v>
                </c:pt>
              </c:numCache>
            </c:numRef>
          </c:val>
        </c:ser>
        <c:dLbls>
          <c:showLegendKey val="0"/>
          <c:showVal val="0"/>
          <c:showCatName val="0"/>
          <c:showSerName val="0"/>
          <c:showPercent val="0"/>
          <c:showBubbleSize val="0"/>
        </c:dLbls>
        <c:gapWidth val="150"/>
        <c:axId val="279365616"/>
        <c:axId val="279366008"/>
      </c:barChart>
      <c:catAx>
        <c:axId val="279365616"/>
        <c:scaling>
          <c:orientation val="minMax"/>
        </c:scaling>
        <c:delete val="0"/>
        <c:axPos val="b"/>
        <c:numFmt formatCode="General" sourceLinked="0"/>
        <c:majorTickMark val="out"/>
        <c:minorTickMark val="none"/>
        <c:tickLblPos val="nextTo"/>
        <c:txPr>
          <a:bodyPr/>
          <a:lstStyle/>
          <a:p>
            <a:pPr>
              <a:defRPr sz="800"/>
            </a:pPr>
            <a:endParaRPr lang="en-US"/>
          </a:p>
        </c:txPr>
        <c:crossAx val="279366008"/>
        <c:crossesAt val="0"/>
        <c:auto val="1"/>
        <c:lblAlgn val="ctr"/>
        <c:lblOffset val="100"/>
        <c:noMultiLvlLbl val="0"/>
      </c:catAx>
      <c:valAx>
        <c:axId val="279366008"/>
        <c:scaling>
          <c:orientation val="minMax"/>
        </c:scaling>
        <c:delete val="0"/>
        <c:axPos val="l"/>
        <c:majorGridlines>
          <c:spPr>
            <a:ln>
              <a:noFill/>
            </a:ln>
          </c:spPr>
        </c:majorGridlines>
        <c:numFmt formatCode="0.0%" sourceLinked="1"/>
        <c:majorTickMark val="out"/>
        <c:minorTickMark val="none"/>
        <c:tickLblPos val="nextTo"/>
        <c:txPr>
          <a:bodyPr/>
          <a:lstStyle/>
          <a:p>
            <a:pPr>
              <a:defRPr sz="800"/>
            </a:pPr>
            <a:endParaRPr lang="en-US"/>
          </a:p>
        </c:txPr>
        <c:crossAx val="2793656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3B965-7FBE-4864-ACF3-13A72BC4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5384</Words>
  <Characters>30689</Characters>
  <Application>Microsoft Office Word</Application>
  <DocSecurity>8</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NIH\OD</Company>
  <LinksUpToDate>false</LinksUpToDate>
  <CharactersWithSpaces>36001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 Chandni (NIH/OD) [E]</dc:creator>
  <cp:lastModifiedBy>Morrison, Isaiah (NIH/OD) [C]</cp:lastModifiedBy>
  <cp:revision>6</cp:revision>
  <cp:lastPrinted>2015-02-13T21:19:00Z</cp:lastPrinted>
  <dcterms:created xsi:type="dcterms:W3CDTF">2015-04-14T16:31:00Z</dcterms:created>
  <dcterms:modified xsi:type="dcterms:W3CDTF">2015-06-05T19:08:00Z</dcterms:modified>
</cp:coreProperties>
</file>